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https://www.autoritedelaconcurrence.fr/fr/decision-de-controle-des-concentrations/relative-la-prise-de-controle-conjoint-de-la-societe-245</w:t>
      </w:r>
    </w:p>
    <w:p>
      <w:r>
        <w:t>Pages translated : 2</w:t>
      </w:r>
    </w:p>
    <w:p/>
    <w:p>
      <w:r>
        <w:rPr>
          <w:b/>
        </w:rPr>
        <w:t>[Pages 1–2]</w:t>
      </w:r>
    </w:p>
    <w:p>
      <w:r>
        <w:t xml:space="preserve">FRENCH REPUBLIC  </w:t>
        <w:br/>
        <w:t xml:space="preserve">Decision No. 24-DCC-213 of October 2, 2024  </w:t>
        <w:br/>
        <w:t xml:space="preserve">regarding the joint control acquisition of the company Calao 179 by the  </w:t>
        <w:br/>
        <w:t xml:space="preserve">company Calumani alongside the company ITM Entreprises  </w:t>
        <w:br/>
        <w:t xml:space="preserve">The Competition Authority,  </w:t>
        <w:br/>
        <w:t xml:space="preserve">Having regard to the complete notification file submitted to the mergers department on September 5, 2024,  </w:t>
        <w:br/>
        <w:t xml:space="preserve">concerning the joint control acquisition of the company Calao 179 by the company Calumani alongside  </w:t>
        <w:br/>
        <w:t xml:space="preserve">the company ITM Entreprises, formalized by a share acquisition promise signed  </w:t>
        <w:br/>
        <w:t xml:space="preserve">on January 25,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joint control by the company Calumani alongside  </w:t>
        <w:br/>
        <w:t xml:space="preserve">the company ITM Entreprises of the company Calao 179, operating a retail business predominantly in food with a surface area of 2,252 m², under the brand Netto  </w:t>
        <w:br/>
        <w:t xml:space="preserve">(formerly Casino), located in Saint-Dionisy (30). It constitutes a concentration operation within the meaning of Article L. 430-1 of the Commercial Code. Given the revenues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24-220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