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https://www.autoritedelaconcurrence.fr/fr/decision-de-controle-des-concentrations/relative-la-prise-de-controle-conjoint-de-la-societe-25</w:t>
      </w:r>
    </w:p>
    <w:p>
      <w:r>
        <w:t>Pages translated : 4</w:t>
      </w:r>
    </w:p>
    <w:p/>
    <w:p>
      <w:r>
        <w:rPr>
          <w:b/>
        </w:rPr>
        <w:t>[Pages 1–3]</w:t>
      </w:r>
    </w:p>
    <w:p>
      <w:r>
        <w:t xml:space="preserve">FRENCH REPUBLIC  </w:t>
        <w:br/>
        <w:t xml:space="preserve">Decision No. 11-DCC-89 of June 14, 2011  </w:t>
        <w:br/>
        <w:t xml:space="preserve">regarding the joint control of the company Alexandre by the  </w:t>
        <w:br/>
        <w:t>companies CSF and Gescod Provence</w:t>
      </w:r>
    </w:p>
    <w:p>
      <w:r>
        <w:t xml:space="preserve">The Competition Authority,  </w:t>
        <w:br/>
        <w:t xml:space="preserve">Having regard to the notification file submitted in full to the merger service on May 19, 2011,  </w:t>
        <w:br/>
        <w:t xml:space="preserve">regarding the joint control of the company Alexandre by the companies CSF and Gescod  </w:t>
        <w:br/>
        <w:t xml:space="preserve">Provence;  </w:t>
        <w:br/>
        <w:t xml:space="preserve">Having regard to Book IV of the Commercial Code relating to the freedom of prices and competition, and  </w:t>
        <w:br/>
        <w:t xml:space="preserve">notably its Articles L. 430-1 to L. 430-7;  </w:t>
        <w:br/>
        <w:t>Adopts the following decision:</w:t>
      </w:r>
    </w:p>
    <w:p>
      <w:r>
        <w:t xml:space="preserve">I. The companies concerned and the operation  </w:t>
        <w:br/>
        <w:t xml:space="preserve">1. The Carrefour group is active in food-dominant distribution. In France, it  </w:t>
        <w:br/>
        <w:t xml:space="preserve">operates hypermarkets under the Carrefour and Champion brands and supermarkets under  </w:t>
        <w:br/>
        <w:t xml:space="preserve">the Champion and Carrefour Market brands. It also operates convenience stores  </w:t>
        <w:br/>
        <w:t xml:space="preserve">under the Carrefour City, Shopi, 8 à huit, Marché Plus, Sherpa, Proxi brands and  </w:t>
        <w:br/>
        <w:t xml:space="preserve">discount stores under the Ed and Dia brands. The company CSF, a simplified joint-stock company,  </w:t>
        <w:br/>
        <w:t xml:space="preserve">whose headquarters is in Mondeville (14), is a 100% subsidiary of the Carrefour Group.  </w:t>
        <w:br/>
        <w:t xml:space="preserve">2. The company Gescod Provence is a simplified joint-stock company owned by the  </w:t>
        <w:br/>
        <w:t xml:space="preserve">Caranta consortium (hereinafter "Caranta group"). In addition to the company Gescod Provence,  </w:t>
        <w:br/>
        <w:t xml:space="preserve">the Caranta group controls companies active in the operation of supermarkets and  </w:t>
        <w:br/>
        <w:t xml:space="preserve">hypermarkets under the Carrefour group brands.  </w:t>
        <w:br/>
        <w:t xml:space="preserve">3. The company Alexandre is a French law company that operates a food-dominant  </w:t>
        <w:br/>
        <w:t xml:space="preserve">retail business under the Carrefour Market brand, with a sales area of  </w:t>
        <w:br/>
        <w:t xml:space="preserve">1,197 m² located in the city of Antibes (06).  </w:t>
        <w:br/>
        <w:t xml:space="preserve">4. The notified operation consists of the joint control of the company Alexandre by the  </w:t>
        <w:br/>
        <w:t xml:space="preserve">company Gescod Provence and the Carrefour group, through its subsidiary CSF, which currently  </w:t>
        <w:br/>
        <w:t xml:space="preserve">holds exclusive control. The notified operation constitutes a concentration operation within the  </w:t>
        <w:br/>
        <w:t>meaning of Article L. 430-1 of the Commercial Code.</w:t>
      </w:r>
    </w:p>
    <w:p>
      <w:r>
        <w:t xml:space="preserve">5. The companies concerned operate retail stores and together achieve  </w:t>
        <w:br/>
        <w:t xml:space="preserve">a total worldwide turnover of more than 75 million euros (Carrefour group: 85.9 billion euros for the fiscal year ending December 31, 2009; Caranta group:  </w:t>
        <w:br/>
        <w:t xml:space="preserve">83.5 million euros for the same year). Each achieves, in France in the retail sector, a turnover exceeding 15 million euros (Carrefour group: 34.2 billion euros for the fiscal year ending December 31, 2009; Caranta group:  </w:t>
        <w:br/>
        <w:t xml:space="preserve">83.5 million euros for the same year). Given these turnovers,  </w:t>
        <w:br/>
        <w:t xml:space="preserve">the operation does not have a Community dimension. However, the control thresholds  </w:t>
        <w:br/>
        <w:t xml:space="preserve">mentioned in point I of Article L. 430-2 of the Commercial Code are exceeded. This  </w:t>
        <w:br/>
        <w:t xml:space="preserve">operation is therefore subject to the provisions of Articles L. 430-3 and following of the  </w:t>
        <w:br/>
        <w:t>Commercial Code relating to economic concentration.</w:t>
      </w:r>
    </w:p>
    <w:p>
      <w:r>
        <w:t xml:space="preserve">II. Delimitation of the relevant markets  </w:t>
        <w:br/>
        <w:t xml:space="preserve">6. According to the consistent practice of national and Community competition authorities,  </w:t>
        <w:br/>
        <w:t xml:space="preserve">two categories of market can be delineated in the food-dominant distribution sector.  </w:t>
        <w:br/>
        <w:t xml:space="preserve">These are, on the one hand, "downstream" markets, of a local dimension, which bring together  </w:t>
        <w:br/>
        <w:t xml:space="preserve">retail companies and consumers for the sale of consumer goods and, on the other hand,  </w:t>
        <w:br/>
        <w:t>"upstream" markets for supplying retail companies with everyday consumer goods, of a national dimension.</w:t>
      </w:r>
    </w:p>
    <w:p>
      <w:r>
        <w:t xml:space="preserve">A. DOWNSTREAM MARKETS OF DISTRIBUTION  </w:t>
        <w:br/>
        <w:t xml:space="preserve">1. SERVICE MARKETS  </w:t>
        <w:br/>
        <w:t xml:space="preserve">7. Regarding the retail sale of everyday consumer goods, competition authorities, both  </w:t>
        <w:br/>
        <w:t xml:space="preserve">Community and national, have distinguished six categories of trade using several criteria,  </w:t>
        <w:br/>
        <w:t xml:space="preserve">notably the size of the stores, their sales techniques, their accessibility, the nature of the service provided, and the range of products offered:  </w:t>
        <w:br/>
        <w:t xml:space="preserve">(i) hypermarkets, (ii) supermarkets, (iii) specialized trade, (iv) small  </w:t>
        <w:br/>
        <w:t xml:space="preserve">retail trade, (v) maxi discounters, (vi) mail order.  </w:t>
        <w:br/>
        <w:t xml:space="preserve">8. Hypermarkets are usually defined as food-dominant stores with a legal sales area of  </w:t>
        <w:br/>
        <w:t xml:space="preserve">2,500 m² or more. Supermarkets are, for their part, usually considered as food-dominant  </w:t>
        <w:br/>
        <w:t xml:space="preserve">stores with a sales area of less than 2,500 m² and more than 400 m². These thresholds must, however, be  </w:t>
        <w:br/>
        <w:t xml:space="preserve">used with caution and may be adapted to the specific case when stores have a  </w:t>
        <w:br/>
        <w:t xml:space="preserve">surface located near a threshold, either below or above, and may be in  </w:t>
        <w:br/>
        <w:t xml:space="preserve">direct competition in fact.  </w:t>
        <w:br/>
        <w:t>9. In this case, the store involved in the operation occupies a sales area of 1,197 m², thus it falls into the category of supermarkets.</w:t>
      </w:r>
    </w:p>
    <w:p>
      <w:r>
        <w:t xml:space="preserve">2. GEOGRAPHICAL DELIMITATION  </w:t>
        <w:br/>
        <w:t xml:space="preserve">10. In its recent decisions related to operations concerning hypermarkets or  </w:t>
        <w:br/>
        <w:t xml:space="preserve">supermarkets, the Competition Authority has reiterated that depending on the size of the stores  </w:t>
        <w:br/>
        <w:t xml:space="preserve">involved, the conditions of competition must be assessed in two different areas:  </w:t>
        <w:br/>
        <w:t xml:space="preserve">- a first market where, on the one hand, the demand of consumers from an  </w:t>
        <w:br/>
        <w:t xml:space="preserve">area meets, and on the other hand, the supply of hypermarkets to which they have access within less than 30  </w:t>
        <w:br/>
        <w:t xml:space="preserve">minutes of travel by car and which are, from their point of view, substitutable among  </w:t>
        <w:br/>
        <w:t xml:space="preserve">themselves;  </w:t>
        <w:br/>
        <w:t xml:space="preserve">- a second market where, on the one hand, the demand of consumers meets and on the  </w:t>
        <w:br/>
        <w:t xml:space="preserve">other hand, the supply of supermarkets and equivalent forms of trade located within less than 15  </w:t>
        <w:br/>
        <w:t xml:space="preserve">minutes of travel time by car. These latter forms of trade may include, in addition to  </w:t>
        <w:br/>
        <w:t xml:space="preserve">supermarkets, hypermarkets located near consumers and discount stores.  </w:t>
        <w:br/>
        <w:t xml:space="preserve">11. Other criteria may, however, be taken into account to assess the impact of a  </w:t>
        <w:br/>
        <w:t>concentration on the competitive situation in retail distribution markets, which may lead to refining the usual delimitations.</w:t>
      </w:r>
    </w:p>
    <w:p>
      <w:r>
        <w:t xml:space="preserve">B. UPSTREAM SUPPLY MARKETS  </w:t>
        <w:br/>
        <w:t xml:space="preserve">12. Regarding supply markets, the European Commission has recognized  </w:t>
        <w:br/>
        <w:t xml:space="preserve">the existence of national dimension markets by major product groups, a delimitation  </w:t>
        <w:br/>
        <w:t xml:space="preserve">followed by national authorities.  </w:t>
        <w:br/>
        <w:t>13. There is no need to challenge this delimitation in the context of the present operation.</w:t>
      </w:r>
    </w:p>
    <w:p>
      <w:r>
        <w:rPr>
          <w:b/>
        </w:rPr>
        <w:t>[Pages 4–4]</w:t>
      </w:r>
    </w:p>
    <w:p>
      <w:r>
        <w:t xml:space="preserve">III. Competitive Analysis  </w:t>
        <w:br/>
        <w:t xml:space="preserve">A. DOWNSTREAM MARKETS OF DISTRIBUTION  </w:t>
        <w:br/>
        <w:t xml:space="preserve">14. In the market comprising all hypermarkets, supermarkets, and large discount stores located within a 15-minute drive around Antibes, the Carrefour Market operated by the target represents 2.5% of the total sales area. The Carrefour group also owns six stores in the localities situated within a 15-minute radius of the concerned store, including one hypermarket, totaling 37.8% of the sales area in this zone. These stores face competition from stores operated under the brands Casino (41.7%), Intermarché (14.4%), Leclerc (3.5%), and Lidl (1.4%).  </w:t>
        <w:br/>
        <w:t xml:space="preserve">15. Consequently, the operation is not likely to harm competition in the markets concerned.  </w:t>
        <w:br/>
        <w:t xml:space="preserve">B. UPSTREAM SUPPLY MARKETS  </w:t>
        <w:br/>
        <w:t xml:space="preserve">16. Regarding the upstream supply markets, the operation, which concerns only one store, is not likely to significantly strengthen the purchasing power of the Carrefour and Caranta groups, across all products as well as by major product groups.  </w:t>
        <w:br/>
        <w:t xml:space="preserve">17. Therefore, the operation is not likely to harm competition in either the downstream market or the upstream supply market.  </w:t>
        <w:br/>
        <w:t xml:space="preserve">DECIDES  </w:t>
        <w:br/>
        <w:t xml:space="preserve">Sole Article: The operation notified under number 11-0092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