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https://www.autoritedelaconcurrence.fr/fr/decision-de-controle-des-concentrations/relative-la-prise-de-controle-conjoint-de-la-societe-251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24-DCC-253 of November 28, 2024  </w:t>
        <w:br/>
        <w:t xml:space="preserve">concerning the joint control acquisition of the company Bretarraine by the  </w:t>
        <w:br/>
        <w:t xml:space="preserve">company Groupe Pfister alongside the company 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12, 2024, concerning the joint control acquisition of the company Bretarraine by the company  </w:t>
        <w:br/>
        <w:t xml:space="preserve">Groupe Pfister alongside the company ITM Entreprises, formalized by a sale agreement  </w:t>
        <w:br/>
        <w:t xml:space="preserve">signed on July 12 and 13,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Groupe Pfister, of the near-totality  </w:t>
        <w:br/>
        <w:t xml:space="preserve">of the shares of the company Bretarraine, with ITM Entreprises retaining a preferred share in  </w:t>
        <w:br/>
        <w:t xml:space="preserve">the capital of the latter. The company Bretarraine operates a business under the Intermarché brand,  </w:t>
        <w:br/>
        <w:t xml:space="preserve">with a surface area of 2,800 m², in Bain-de-Bretagne (35). The operation constitutes a  </w:t>
        <w:br/>
        <w:t xml:space="preserve">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24-290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