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https://www.autoritedelaconcurrence.fr/fr/decision-de-controle-des-concentrations/relative-la-prise-de-controle-conjoint-de-la-societe-252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24-DCC-266 of December 6, 2024  </w:t>
        <w:br/>
        <w:t xml:space="preserve">regarding the joint control acquisition of the company Frajean by the  </w:t>
        <w:br/>
        <w:t xml:space="preserve">company Chanstel alongside the company ITM Entreprises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15, 2024, concerning the joint control acquisition of the company Frajean by the company  </w:t>
        <w:br/>
        <w:t xml:space="preserve">Chanstel alongside the company ITM Entreprises, formalized by a letter of intent dated  </w:t>
        <w:br/>
        <w:t xml:space="preserve">October 25,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by the notifying parties during the investigation;  </w:t>
        <w:br/>
        <w:t xml:space="preserve">Adopts the following decision:  </w:t>
        <w:br/>
        <w:t xml:space="preserve">1. The notified operation consists of the acquisition by the company Chanstel of nearly all the  </w:t>
        <w:br/>
        <w:t xml:space="preserve">shares of the company Frajean, with the company ITM Entreprises retaining one preferred share.  </w:t>
        <w:br/>
        <w:t xml:space="preserve">The company Frajean, linked to the company ITM Entreprises by the signing of a brand contract,  </w:t>
        <w:br/>
        <w:t xml:space="preserve">operates a retail outlet, with a surface area of 2,501 m², predominantly food-related under the  </w:t>
        <w:br/>
        <w:t xml:space="preserve">Intermarché brand located in Meximieux (01). The operation constitutes a  </w:t>
        <w:br/>
        <w:t xml:space="preserve">concentration within the meaning of Article L. 430-1 of the Commercial Code. Given the  </w:t>
        <w:br/>
        <w:t xml:space="preserve">turnover generated by the companies concerned, the operation does not fall under the  </w:t>
        <w:br/>
        <w:t xml:space="preserve">jurisdiction of the European Union. However, the control thresholds mentioned in II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24-295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