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https://www.autoritedelaconcurrence.fr/fr/decision-de-controle-des-concentrations/relative-la-prise-de-controle-conjoint-de-la-societe-254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25-DCC-02 of January 7, 2025  </w:t>
        <w:br/>
        <w:t xml:space="preserve">regarding the joint control acquisition of the company Calao 83  </w:t>
        <w:br/>
        <w:t xml:space="preserve">by the companies Caponga and Levant Armor  </w:t>
        <w:br/>
        <w:t xml:space="preserve">alongside the company ITM Entreprises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10, 2024, concerning the joint control acquisition of the company Calao 83 by the companies  </w:t>
        <w:br/>
        <w:t xml:space="preserve">Caponga and Levant Armor alongside the company ITM Entreprises, formalized by a share acquisition promise signed on August 1,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the companies Caponga and Levant Armor of the  </w:t>
        <w:br/>
        <w:t xml:space="preserve">almost all of the shares constituting the capital of the company Calao 83, with ITM Entreprises  </w:t>
        <w:br/>
        <w:t xml:space="preserve">retaining one preferred share. The company Calao 83 operates a retail business predominantly in food, with a surface area of 1,411 m², under the brand Intermarché  </w:t>
        <w:br/>
        <w:t xml:space="preserve">(formerly Casino), located in Suresnes (92). The operation constitutes a concentration within the meaning  </w:t>
        <w:br/>
        <w:t xml:space="preserve">of Article L. 430-1 of the Commercial Code. Given the turnover achieved by the  </w:t>
        <w:br/>
        <w:t xml:space="preserve">concerned companies, the operation does not fall under the jurisdiction of the European Union. However, 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24-319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