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25-DCC-05 of January 10, 2025</w:t>
        <w:br/>
        <w:t>regarding the joint control acquisition of the company Chrisamp by the</w:t>
        <w:br/>
        <w:t>companies Monnarie and ITM Entreprises</w:t>
        <w:br/>
        <w:t>The Competition Authority,</w:t>
        <w:br/>
        <w:t>Having regard to the complete notification file submitted to the mergers department on</w:t>
        <w:br/>
        <w:t>December 12, 2024, concerning the joint control acquisition of the company Chrisamp by the companies</w:t>
        <w:br/>
        <w:t>Monnarie and ITM Entreprises formalized by a letter of intent signed on November 13,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Monnarie of almost all the</w:t>
        <w:br/>
        <w:t>shares, with the company ITM Entreprises retaining one preferred share of the company Chrisamp,</w:t>
        <w:br/>
        <w:t>which operates an auto center under the Roady brand in Aubenas (07). This operation constitutes</w:t>
        <w:br/>
        <w:t>a concentration within the meaning of Article L. 430-1 of the Commercial Code. Given the revenues</w:t>
        <w:br/>
        <w:t>generated by the companies concerned, the operation does not fall under the jurisdiction of</w:t>
        <w:br/>
        <w:t>the European Union. On the other hand,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24-320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