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https://www.autoritedelaconcurrence.fr/fr/decision-de-controle-des-concentrations/relative-la-prise-de-controle-conjoint-de-la-societe-258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25-DCC-09 of January 17, 2025</w:t>
        <w:br/>
        <w:t>regarding the joint control acquisition of the company Greece 138 by the</w:t>
        <w:br/>
        <w:t>companies Caponga, Costalix, and ITM Entreprises</w:t>
        <w:br/>
        <w:t>The Competition Authority,</w:t>
        <w:br/>
        <w:t>Having regard to the complete notification file submitted to the mergers department on</w:t>
        <w:br/>
        <w:t>December 23, 2024, concerning the joint control acquisition of the company Greece 138 by the</w:t>
        <w:br/>
        <w:t>companies Caponga, Costalix, and ITM Entreprises formalized by a share acquisition promise</w:t>
        <w:br/>
        <w:t>dated October 23 and 25, 2024;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the companies Caponga and Costalix of almost</w:t>
        <w:br/>
        <w:t>all the shares, the company ITM Entreprises retaining one preferred share, of the company</w:t>
        <w:br/>
        <w:t>Greece 138, which operates a retail business predominantly in food under the Intermarché brand, formerly Casino, with a sales area of 1,892 m², in Paris (75019). This operation constitutes a concentration within the meaning of Article L. 430-1 of the Commercial Code. Given the revenues generated by the companies involved,</w:t>
        <w:br/>
        <w:t>the operation does not fall under the jurisdiction of the European Union. However, the control thresholds mentioned in II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24-334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