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https://www.autoritedelaconcurrence.fr/fr/decision-de-controle-des-concentrations/relative-la-prise-de-controle-conjoint-de-la-societe-259</w:t>
      </w:r>
    </w:p>
    <w:p>
      <w:r>
        <w:t>Pages translated : 2</w:t>
      </w:r>
    </w:p>
    <w:p/>
    <w:p>
      <w:r>
        <w:rPr>
          <w:b/>
        </w:rPr>
        <w:t>[Pages 1–2]</w:t>
      </w:r>
    </w:p>
    <w:p>
      <w:r>
        <w:t xml:space="preserve">FRENCH REPUBLIC  </w:t>
        <w:br/>
        <w:t xml:space="preserve">Decision No. 25-DCC-12 of January 22, 2025  </w:t>
        <w:br/>
        <w:t xml:space="preserve">regarding the joint control acquisition of the company Greece FP 11 by  </w:t>
        <w:br/>
        <w:t>the companies Bonsens and ITM Entreprises</w:t>
      </w:r>
    </w:p>
    <w:p>
      <w:r>
        <w:t>The Competition Authority,</w:t>
      </w:r>
    </w:p>
    <w:p>
      <w:r>
        <w:t xml:space="preserve">Having regard to the complete notification file sent to the mergers department on January 6, 2025,  </w:t>
        <w:br/>
        <w:t xml:space="preserve">concerning the joint control acquisition of the company Greece FP 11 by the companies Bonsens and  </w:t>
        <w:br/>
        <w:t>ITM Entreprises formalized by a share acquisition promise concluded on October 31, November 1, and 4, 2024;</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acquisition by the company Bonsens of almost all the  </w:t>
        <w:br/>
        <w:t xml:space="preserve">shares, the company ITM Entreprises retaining one preferred share, of the company  </w:t>
        <w:br/>
        <w:t>Greece FP 11, which has the purpose of operating a retail business primarily focused on food under the Intermarché brand (formerly Franprix) with a sales area of 1,120 m² in the city of Senlis (60).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25-002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