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12-DCC-114 of August 9, 2012  </w:t>
        <w:br/>
        <w:t xml:space="preserve">regarding the joint control acquisition of the company Kerfral by ITM  </w:t>
        <w:br/>
        <w:t xml:space="preserve">Entreprises and the Guenec consortium  </w:t>
        <w:br/>
        <w:t xml:space="preserve">The Competition Authority,  </w:t>
        <w:br/>
        <w:t xml:space="preserve">Having regard to the complete notification file submitted to the mergers department on July 19, 2012,  </w:t>
        <w:br/>
        <w:t xml:space="preserve">concerning the joint control acquisition by the company ITM Entreprises and the Guenec consortium of  </w:t>
        <w:br/>
        <w:t xml:space="preserve">the company Kerfral;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joint control acquisition of the company Kerfral, responsible  </w:t>
        <w:br/>
        <w:t xml:space="preserve">for operating a predominantly food distribution business under the Netto brand with a surface area of 645 m2 in Nantes (44), by the company ITM Entreprises and the Guenec consortium. It constitutes a concentration operation within the meaning of Article L. 430-1 of the Commercial Code. Given the turnover achieved by the companies involved,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12-122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