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https://www.autoritedelaconcurrence.fr/fr/decision-de-controle-des-concentrations/relative-la-prise-de-controle-conjoint-de-la-societe-260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25-DCC-31 of February 11, 2025</w:t>
        <w:br/>
        <w:t>regarding the joint control acquisition of the company</w:t>
        <w:br/>
        <w:t>Holding Dream Energy by the companies</w:t>
        <w:br/>
        <w:t>EdRPE Infra TIIC GP III S.à.r.l. Luxembourg and Artea</w:t>
        <w:br/>
        <w:t>The Competition Authority,</w:t>
        <w:br/>
        <w:t>Having regard to the complete notification file submitted to the mergers department on January 13, 2025,</w:t>
        <w:br/>
        <w:t>concerning the joint control acquisition of the company Holding Dream Energy by the companies</w:t>
        <w:br/>
        <w:t>EdRPE Infra TIIC GP III S.à.r.l. Luxembourg and Artea, formalized by an investment agreement signed on December 12,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 of joint control of the company Holding Dream</w:t>
        <w:br/>
        <w:t>Energy by opening its capital, historically held at 100% by Artea, to the company</w:t>
        <w:br/>
        <w:t>Green Energy EVC Lux S.à.r.l, indirectly controlled by EdRPE Infra TIIC GP III S.à.r.l.</w:t>
        <w:br/>
        <w:t>Luxembourg, which will hold 40%. EdRPE Infra TIIC GP III S.à.r.l. Luxembourg will acquire joint control over Holding Dream Energy, with Artea, notably having the power to [confidential]. The operation constitutes a concentration within the meaning of Article L. 430-1 of the Commercial Code. Given the turnover generated by the concerned companies,</w:t>
        <w:br/>
        <w:t>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24-331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