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25-DCC-34 of February 13, 2025  </w:t>
        <w:br/>
        <w:t xml:space="preserve">regarding the joint control acquisition of the company Greece 39 by the  </w:t>
        <w:br/>
        <w:t xml:space="preserve">companies Jourdain and ITM Entreprises  </w:t>
        <w:br/>
        <w:t xml:space="preserve">The Competition Authority,  </w:t>
        <w:br/>
        <w:t xml:space="preserve">Having regard to the complete notification file submitted to the mergers department on January 21, 2025,  </w:t>
        <w:br/>
        <w:t xml:space="preserve">concerning the joint control acquisition of the company Greece 39 by the companies Jourdain and  </w:t>
        <w:br/>
        <w:t xml:space="preserve">ITM Entreprises, formalized by a letter of intent signed on December 30,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Jourdain of almost all the  </w:t>
        <w:br/>
        <w:t xml:space="preserve">shares, with the company ITM Entreprises retaining one preferred share, of the company  </w:t>
        <w:br/>
        <w:t xml:space="preserve">Greece 39, which operates a food-dominant business of the supermarket type under the Intermarché brand (formerly Casino), with a sales area of  </w:t>
        <w:br/>
        <w:t xml:space="preserve">1,555 m², located in the city of L’Union (31). This operation constitutes a concentration within  </w:t>
        <w:br/>
        <w:t xml:space="preserve">the meaning of Article L. 430-1 of the Commercial Code. Given the turnover achieved by the  </w:t>
        <w:br/>
        <w:t xml:space="preserve">concerned companies, the operation does not fall under the jurisdiction of the European Union. On the other hand, the control thresholds mentioned in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