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https://www.autoritedelaconcurrence.fr/fr/decision-de-controle-des-concentrations/relative-la-prise-de-controle-conjoint-de-la-societe-265</w:t>
      </w:r>
    </w:p>
    <w:p>
      <w:r>
        <w:t>Pages translated : 2</w:t>
      </w:r>
    </w:p>
    <w:p/>
    <w:p>
      <w:r>
        <w:rPr>
          <w:b/>
        </w:rPr>
        <w:t>[Pages 1–2]</w:t>
      </w:r>
    </w:p>
    <w:p>
      <w:r>
        <w:t>FRENCH REPUBLIC</w:t>
        <w:br/>
        <w:t>Decision No. 25-DCC-53 of March 10, 2025</w:t>
        <w:br/>
        <w:t>regarding the joint control acquisition of the company Disalp by the</w:t>
        <w:br/>
        <w:t>companies Naoisans and ITM Entreprises</w:t>
        <w:br/>
        <w:t>The Competition Authority,</w:t>
        <w:br/>
        <w:t>Having regard to the complete notification file submitted to the mergers department on February 5, 2025,</w:t>
        <w:br/>
        <w:t>concerning the joint control acquisition of the company Disalp by the companies Naoisans and</w:t>
        <w:br/>
        <w:t>ITM Entreprises, formalized by the signing of a memorandum of understanding regarding the acquisition</w:t>
        <w:br/>
        <w:t>of the majority of the target's shares held by the Seller, on April 23, 2024, and the establishment</w:t>
        <w:br/>
        <w:t>of the company Naoisans on May 27, 2024;</w:t>
        <w:br/>
        <w:t>Having regard to Book IV of the Commercial Code relating to the freedom of prices and competition, and</w:t>
        <w:br/>
        <w:t>notably its Articles L. 430-1 to L. 430-7;</w:t>
        <w:br/>
        <w:t>Adopts the following decision:</w:t>
        <w:br/>
        <w:t>1. The notified operation consists of the acquisition by the company Naoisans, alongside the company</w:t>
        <w:br/>
        <w:t>ITM Entreprises, of the joint control of the company Disalp, which operates a retail business primarily focused on food under the Intermarché brand, with a surface area of 400 m², located in L’Alpe d’Huez (38). This operation constitutes a concentration within the meaning of</w:t>
        <w:br/>
        <w:t>Article L. 430-1 of the Commercial Code. Given the turnover generated by the companies involved, the operation does not fall under the jurisdiction of the European Union. However, the control thresholds mentioned in II of Article L. 430-2 of the Commercial Code are exceeded. The present operation is therefore subject to the provisions of Articles L. 430-3 and</w:t>
        <w:br/>
        <w:t>following of the Commercial Code relating to economic concentration.</w:t>
        <w:br/>
        <w:t>2. In light of the elements of the file, the operation is not likely to harm competition</w:t>
        <w:br/>
        <w:t>in the relevant markets.</w:t>
      </w:r>
    </w:p>
    <w:p>
      <w:r>
        <w:t>DECIDES</w:t>
        <w:br/>
        <w:t>Sole Article: The operation notified under number 25-030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