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https://www.autoritedelaconcurrence.fr/fr/decision-de-controle-des-concentrations/relative-la-prise-de-controle-conjoint-de-la-societe-266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25-DCC-52 of March 12, 2025  </w:t>
        <w:br/>
        <w:t xml:space="preserve">regarding the joint control acquisition of the company Quatras by the  </w:t>
        <w:br/>
        <w:t xml:space="preserve">companies Berrel and ITM Entreprises  </w:t>
        <w:br/>
        <w:t xml:space="preserve">The Competition Authority,  </w:t>
        <w:br/>
        <w:t xml:space="preserve">Having regard to the complete notification file sent to the mergers department on February 12, 2025,  </w:t>
        <w:br/>
        <w:t xml:space="preserve">concerning the joint control acquisition of the company Quatras by the companies Berrel and  </w:t>
        <w:br/>
        <w:t xml:space="preserve">ITM Entreprises, formalized by the sending and acceptance of a letter of intent on  </w:t>
        <w:br/>
        <w:t xml:space="preserve">January 30,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Berrel, with ITM Entreprises retaining  </w:t>
        <w:br/>
        <w:t xml:space="preserve">a preferred share, of the quasi-totality of the shares of the company Quatras, which operates  </w:t>
        <w:br/>
        <w:t xml:space="preserve">a retail business predominantly in food under the Intermarché brand,  </w:t>
        <w:br/>
        <w:t xml:space="preserve">with an area of 935 m², located in Seichamps (54). This operation constitutes a concentration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mentioned in II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25-037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