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https://www.autoritedelaconcurrence.fr/fr/decision-de-controle-des-concentrations/relative-la-prise-de-controle-conjoint-de-la-societe-267</w:t>
      </w:r>
    </w:p>
    <w:p>
      <w:r>
        <w:t>Pages translated : 2</w:t>
      </w:r>
    </w:p>
    <w:p/>
    <w:p>
      <w:r>
        <w:rPr>
          <w:b/>
        </w:rPr>
        <w:t>[Pages 1–2]</w:t>
      </w:r>
    </w:p>
    <w:p>
      <w:r>
        <w:t>FRENCH REPUBLIC</w:t>
        <w:br/>
        <w:t>Decision No. 25-DCC-60 of March 14, 2025</w:t>
        <w:br/>
        <w:t>regarding the joint control acquisition of the company Greece 131 by the</w:t>
        <w:br/>
        <w:t>companies Bambus and ITM Entreprises</w:t>
        <w:br/>
        <w:t>The Competition Authority,</w:t>
      </w:r>
    </w:p>
    <w:p>
      <w:r>
        <w:t>Having regard to the complete notification file submitted to the mergers department on February 20, 2025, concerning the joint control acquisition of the company Greece 131 by the companies Bambus and ITM Entreprises, formalized by a share acquisition promise signed on January 25, 2024;</w:t>
      </w:r>
    </w:p>
    <w:p>
      <w:r>
        <w:t>Having regard to Book IV of the Commercial Code relating to the freedom of prices and competition, and in particular its Articles L. 430-1 to L. 430-7;</w:t>
      </w:r>
    </w:p>
    <w:p>
      <w:r>
        <w:t>Adopts the following decision:</w:t>
      </w:r>
    </w:p>
    <w:p>
      <w:r>
        <w:t>1. The notified operation consists of the acquisition by the company Bambus, with the company ITM Entreprise retaining a preferred share, of the quasi-totality of the shares of the company Greece 131, which operates a retail business predominantly in food under the Intermarché brand, with a surface area of 1,228 m², in the city of Meyreuil (13). This operation constitutes a concentration within the meaning of Article L. 430-1 of the Commercial Code. Given the revenues generated by the companies involved,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DECIDES</w:t>
        <w:br/>
        <w:t>Sole Article: The operation notified under number 25-048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