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https://www.autoritedelaconcurrence.fr/fr/decision-de-controle-des-concentrations/relative-la-prise-de-controle-conjoint-de-la-societe-268</w:t>
      </w:r>
    </w:p>
    <w:p>
      <w:r>
        <w:t>Pages translated : 2</w:t>
      </w:r>
    </w:p>
    <w:p/>
    <w:p>
      <w:r>
        <w:rPr>
          <w:b/>
        </w:rPr>
        <w:t>[Pages 1–2]</w:t>
      </w:r>
    </w:p>
    <w:p>
      <w:r>
        <w:t xml:space="preserve">FRENCH REPUBLIC  </w:t>
        <w:br/>
        <w:t xml:space="preserve">Decision No. 25-DCC-59 of March 14, 2025  </w:t>
        <w:br/>
        <w:t xml:space="preserve">regarding the joint control acquisition of the company Calao 236 by the  </w:t>
        <w:br/>
        <w:t xml:space="preserve">companies Thoronilf and ITM Entreprises  </w:t>
        <w:br/>
        <w:t xml:space="preserve">The Competition Authority,  </w:t>
        <w:br/>
        <w:t xml:space="preserve">Having regard to the complete notification file submitted to the mergers department on February 19, 2025,  </w:t>
        <w:br/>
        <w:t xml:space="preserve">concerning the joint control acquisition of the company Calao 236 by the companies Thoronilf and  </w:t>
        <w:br/>
        <w:t xml:space="preserve">ITM Entreprises, formalized by a share acquisition promise signed on July 23,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Thoronilf, with the company ITM  </w:t>
        <w:br/>
        <w:t xml:space="preserve">Entreprises retaining a preferred share, of almost all the shares of the company Calao 236, which operates a retail business primarily focused on food under the Intermarché brand, with a surface area of 1,000 m², in the city of Mornant (69). This operation constitutes a concentration within the meaning of Article L. 430-1 of the Commercial Code.  </w:t>
        <w:br/>
        <w:t xml:space="preserve">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25-046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