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https://www.autoritedelaconcurrence.fr/fr/decision-de-controle-des-concentrations/relative-la-prise-de-controle-conjoint-de-la-societe-270</w:t>
      </w:r>
    </w:p>
    <w:p>
      <w:r>
        <w:t>Pages translated : 2</w:t>
      </w:r>
    </w:p>
    <w:p/>
    <w:p>
      <w:r>
        <w:rPr>
          <w:b/>
        </w:rPr>
        <w:t>[Pages 1–2]</w:t>
      </w:r>
    </w:p>
    <w:p>
      <w:r>
        <w:t xml:space="preserve">REPUBLIC OF FRANCE  </w:t>
        <w:br/>
        <w:t xml:space="preserve">Decision No. 25-DCC-66 of March 24, 2025  </w:t>
        <w:br/>
        <w:t>regarding the joint control acquisition of the company Reborne by the companies EDF PEI, La Perrière, Convergence, and Energis</w:t>
      </w:r>
    </w:p>
    <w:p>
      <w:r>
        <w:t>The Competition Authority,</w:t>
      </w:r>
    </w:p>
    <w:p>
      <w:r>
        <w:t>Having regard to the complete notification file sent to the mergers department on February 20, 2025, concerning the joint control acquisition of the company Reborne by the companies EDF PEI, La Perrière, Convergence, and Energis, formalized by an investment protocol project dated February 17, 2025;</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companies EDF PEI and La Perrière of a controlling stake, within the meaning of competition law, in the company Reborne, which is already jointly controlled by the companies Convergence and Energis. The company Reborne engages in the installation of charging stations for electric vehicles in La Réunion. This operation constitutes a concentration within the meaning of Article L. 430-1 of the Commercial Code. Given the turnover achieved by the companies involved, the operation does not fall under the jurisdiction of the European Union. However, the control thresholds mentioned in III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24-317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