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https://www.autoritedelaconcurrence.fr/fr/decision-de-controle-des-concentrations/relative-la-prise-de-controle-conjoint-de-la-societe-272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25-DCC-77 of April 7, 2025  </w:t>
        <w:br/>
        <w:t xml:space="preserve">regarding the joint control acquisition of the company Courdim  </w:t>
        <w:br/>
        <w:t xml:space="preserve">by the companies Yihoup and ITM Entreprises  </w:t>
        <w:br/>
        <w:t xml:space="preserve">The Competition Authority,  </w:t>
        <w:br/>
        <w:t xml:space="preserve">Having regard to the complete notification file submitted to the mergers department on March 5, 2025,  </w:t>
        <w:br/>
        <w:t xml:space="preserve">concerning the joint control acquisition of the company Courdim by the companies Yihoup and  </w:t>
        <w:br/>
        <w:t xml:space="preserve">ITM Entreprises formalized by the acceptance of a letter of intent on January 30,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transaction consists of the acquisition by the company Yihoup of almost all  </w:t>
        <w:br/>
        <w:t xml:space="preserve">the shares, with the company ITM Entreprises holding a preferred share, of the company Courdim,  </w:t>
        <w:br/>
        <w:t xml:space="preserve">which operates a retail business predominantly in food under the Intermarché brand, with a sales area of 1,800 m², in Juvisy (91). This transaction constitutes a  </w:t>
        <w:br/>
        <w:t xml:space="preserve">concentration within the meaning of Article L. 430-1 of the Commercial Code. Given the turnover generated by the companies involved, the transaction does not fall under the jurisdiction of  </w:t>
        <w:br/>
        <w:t xml:space="preserve">the European Union. On the other hand, the control thresholds mentioned in II of Article L. 430-2  </w:t>
        <w:br/>
        <w:t xml:space="preserve">of the Commercial Code are exceeded. This transaction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transaction is not likely to harm competition  </w:t>
        <w:br/>
        <w:t>in the relevant markets.</w:t>
      </w:r>
    </w:p>
    <w:p>
      <w:r>
        <w:t xml:space="preserve">DECIDES  </w:t>
        <w:br/>
        <w:t xml:space="preserve">Sole Article: The transaction notified under number 25-063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