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https://www.autoritedelaconcurrence.fr/fr/decision-de-controle-des-concentrations/relative-la-prise-de-controle-conjoint-de-la-societe-28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12-DCC-124 of August 30, 2012  </w:t>
        <w:br/>
        <w:t xml:space="preserve">regarding the joint control acquisition of the company Provost  </w:t>
        <w:br/>
        <w:t xml:space="preserve">Participations by the company Chequers Partenaires and Mr. Franck  </w:t>
        <w:br/>
        <w:t xml:space="preserve">Provost  </w:t>
        <w:br/>
        <w:t xml:space="preserve">The Competition Authority,  </w:t>
        <w:br/>
        <w:t xml:space="preserve">Having regard to the complete notification file submitted to the mergers department on August 6, 2012,  </w:t>
        <w:br/>
        <w:t xml:space="preserve">concerning the joint control acquisition of the company Provost Participations by the company  </w:t>
        <w:br/>
        <w:t xml:space="preserve">Chequers Partenaires and Mr. Franck Provost, formalized by a memorandum of understanding dated  </w:t>
        <w:br/>
        <w:t xml:space="preserve">August 3, 2012;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company Provost  </w:t>
        <w:br/>
        <w:t xml:space="preserve">Participations, active in the hairdressing and distribution of hair products sector  </w:t>
        <w:br/>
        <w:t xml:space="preserve">(through the networks of hair salons Jean-Marc Maniatis, Franck Provost, Jean Louis  </w:t>
        <w:br/>
        <w:t xml:space="preserve">David, Niwel, Saint Algue, Fabio Salsa, Intermède, Coiff &amp;Co and Interview), by the company  </w:t>
        <w:br/>
        <w:t xml:space="preserve">Chequers Partenaires, a portfolio management company, and Mr. Franck Provost. It constitutes  </w:t>
        <w:br/>
        <w:t xml:space="preserve">a concentration within the meaning of Article L. 430-1 of the Commercial Code. Given the  </w:t>
        <w:br/>
        <w:t xml:space="preserve">turnover generated by the companies concerned, the operation does not have a  </w:t>
        <w:br/>
        <w:t xml:space="preserve">community dimension. On the other hand, the control thresholds related to concentration operations mentioned in point I of Article L. 430-2 of the Commercial Code are exceeded.  </w:t>
        <w:br/>
        <w:t xml:space="preserve">The present operation is therefore subject to the provisions of Articles L. 430-3 and following of  </w:t>
        <w:br/>
        <w:t xml:space="preserve">the Commercial Code relating to 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12-139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