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25-DCC-142 of June 20, 2025  </w:t>
        <w:br/>
        <w:t xml:space="preserve">regarding the joint control acquisition of the company Badelle by the  </w:t>
        <w:br/>
        <w:t xml:space="preserve">companies Helouhen and ITM Entreprises  </w:t>
        <w:br/>
        <w:t>The Competition Authority,</w:t>
      </w:r>
    </w:p>
    <w:p>
      <w:r>
        <w:t xml:space="preserve">Having regard to the complete notification file submitted to the mergers department on May 19, 2025,  </w:t>
        <w:br/>
        <w:t xml:space="preserve">concerning the joint control acquisition of the company Badelle by the companies Helouhen and  </w:t>
        <w:br/>
        <w:t>ITM Entreprises, formalized by a letter of intent accepted on May 4,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acquisition, by the company Helouhen, of almost all the  </w:t>
        <w:br/>
        <w:t xml:space="preserve">shares, with ITM Entreprises retaining a preferred share, of the company Badelle, which  </w:t>
        <w:br/>
        <w:t xml:space="preserve">operates a retail business predominantly in food under the Intermarché brand, with a sales area of 1,950 m², located in Noyelle-sous-Lens (62). This  </w:t>
        <w:br/>
        <w:t xml:space="preserve">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