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25-DCC-178 of July 29, 2025  </w:t>
        <w:br/>
        <w:t xml:space="preserve">regarding the joint control acquisition of the company Senperen by the  </w:t>
        <w:br/>
        <w:t xml:space="preserve">companies DA2M and ITM Entreprises  </w:t>
        <w:br/>
        <w:t xml:space="preserve">The Competition Authority,  </w:t>
        <w:br/>
        <w:t xml:space="preserve">Having regard to the complete notification file submitted to the mergers department on June 30, 2025,  </w:t>
        <w:br/>
        <w:t xml:space="preserve">concerning the joint control acquisition of the company Senperen by the companies DA2M and  </w:t>
        <w:br/>
        <w:t xml:space="preserve">ITM Entreprises, formalized by a memorandum of understanding signed on June 26,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DA2M of almost all the  </w:t>
        <w:br/>
        <w:t xml:space="preserve">shares, with the company ITM Entreprises retaining a preferred share, of the company  </w:t>
        <w:br/>
        <w:t xml:space="preserve">Senperen, which has the purpose of operating a commercial business primarily focused on  </w:t>
        <w:br/>
        <w:t xml:space="preserve">food distribution under the Intermarché brand with a sales area of 2,600 m² in the city of Saint-  </w:t>
        <w:br/>
        <w:t xml:space="preserve">Pée-sur-Nivelle (64). Given the revenues generated by the companies concerned, the operation does  </w:t>
        <w:br/>
        <w:t xml:space="preserve">not fall within the jurisdiction of the European Union. However, the control thresholds mentioned in II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25-172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