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25-DCC-221 of September 29, 2025</w:t>
        <w:br/>
        <w:t>regarding the joint control acquisition of the company</w:t>
        <w:br/>
        <w:t>Saint Astier Distribution by the company Saint Astier Invest alongside</w:t>
        <w:br/>
        <w:t>the Association of E. Leclerc Distributor Centers</w:t>
        <w:br/>
        <w:t>The Competition Authority,</w:t>
        <w:br/>
        <w:t>Having regard to the complete notification file sent to the mergers department on</w:t>
        <w:br/>
        <w:t>September 1, 2025, concerning the joint control acquisition of the company ASD by the company</w:t>
        <w:br/>
        <w:t>Saint Astier Invest alongside the Association of E. Leclerc Distributor Centers, formalized</w:t>
        <w:br/>
        <w:t>by a purchase promise signed on August 20,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company Saint Astier Invest,</w:t>
        <w:br/>
        <w:t>alongside the Association of E. Leclerc Distributor Centers, of the company ASD, which is</w:t>
        <w:br/>
        <w:t>a family holding company that holds control of the company Saint Astier Distribution which operates</w:t>
        <w:br/>
        <w:t>a retail business primarily focused on food of the hypermarket type with a surface area of</w:t>
        <w:br/>
        <w:t>3,643 m², a service station, and a DIY store under the E. Leclerc brand in the city</w:t>
        <w:br/>
        <w:t>of Saint-Astier (24). This operation constitutes a concentration within the meaning of Article L. 430-1</w:t>
        <w:br/>
        <w:t>of the Commercial Code. Given the turnover achieved by the companies</w:t>
        <w:br/>
        <w:t>involved, the operation does not fall under the jurisdiction of the European Union. On the other hand,</w:t>
        <w:br/>
        <w:t>the control thresholds mentioned in II of Article L. 430-2 of the Commercial Code are exceeded.</w:t>
        <w:br/>
        <w:t>This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25-224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