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https://www.autoritedelaconcurrence.fr/fr/decision-de-controle-des-concentrations/relative-la-prise-de-controle-conjoint-de-la-societe-288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25-DCC-226 of October 7, 2025  </w:t>
        <w:br/>
        <w:t xml:space="preserve">concerning the joint control acquisition of the company Coudouble by the  </w:t>
        <w:br/>
        <w:t xml:space="preserve">companies Matille and ITM Entreprises  </w:t>
        <w:br/>
        <w:t xml:space="preserve">The Competition Authority,  </w:t>
        <w:br/>
        <w:t xml:space="preserve">Having regard to the complete notification file sent to the mergers department on September 4, 2025,  </w:t>
        <w:br/>
        <w:t xml:space="preserve">concerning the joint control acquisition of the company Coudouble by the companies Matille and  </w:t>
        <w:br/>
        <w:t xml:space="preserve">ITM Entreprises, formalized by a letter of intent signed on July 24,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Matille of almost all the  </w:t>
        <w:br/>
        <w:t xml:space="preserve">shares, with the company ITM Entreprises retaining one preferred share, of the company  </w:t>
        <w:br/>
        <w:t xml:space="preserve">Coudouble, which has the purpose of operating a retail business predominantly focused on  </w:t>
        <w:br/>
        <w:t xml:space="preserve">food "maxi-discount" under the Netto brand, with a sales area of 855 m², located in  </w:t>
        <w:br/>
        <w:t xml:space="preserve">the city of Valence (26).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mentioned in II of Article L. 430-2 of the Commercial Code are exceeded.  </w:t>
        <w:br/>
        <w:t xml:space="preserve">This operation is therefore subject to the provisions of Articles L. 430-3 and following of  </w:t>
        <w:br/>
        <w:t xml:space="preserve">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25-226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