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https://www.autoritedelaconcurrence.fr/fr/decision-de-controle-des-concentrations/relative-la-prise-de-controle-conjoint-de-la-societe-29</w:t>
      </w:r>
    </w:p>
    <w:p>
      <w:r>
        <w:t>Pages translated : 5</w:t>
      </w:r>
    </w:p>
    <w:p/>
    <w:p>
      <w:r>
        <w:rPr>
          <w:b/>
        </w:rPr>
        <w:t>[Pages 1–3]</w:t>
      </w:r>
    </w:p>
    <w:p>
      <w:r>
        <w:t xml:space="preserve">FRENCH REPUBLIC  </w:t>
        <w:br/>
        <w:t xml:space="preserve">Decision No. 12-DCC-135 of September 27, 2012  </w:t>
        <w:br/>
        <w:t xml:space="preserve">regarding the joint control of the company Somatur by  </w:t>
        <w:br/>
        <w:t>[confidential] and ITM Entreprises</w:t>
      </w:r>
    </w:p>
    <w:p>
      <w:r>
        <w:t xml:space="preserve">The Competition Authority,  </w:t>
        <w:br/>
        <w:t xml:space="preserve">Having regard to the notification file submitted in full to the merger service on August 24, 2012, regarding the joint control of the company Somatur by [confidential] and ITM Entreprises, formalized by a transfer agreement dated August 23, 2012;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ITM Entreprises, 100% controlled by the civil company of Mousquetaires, itself held by 1,403 natural persons known as "associated members," leads and animates the network of independent merchants known as the "Groupement des Mousquetaires." As a franchisor, ITM Entreprises has as its main activity the management of a network of food and non-food retail outlets operated by independent merchants under the following brands: Intermarché, Ecomarché, Netto, Restaumarché, Poivrerouge, Bricomarché, and Roady. This management is carried out notably through the signing and monitoring of brand contracts with the companies operating these retail outlets. ITM Entreprises also provides its franchisees with various services for prospecting, consulting, training, etc. Finally, it offers franchisees the opportunity to benefit from advantageous supply conditions with its national and regional subsidiaries, as well as with external suppliers referenced outside the "Groupement des Mousquetaires."  </w:t>
        <w:br/>
        <w:t xml:space="preserve">2. The [confidential] control the company Cobeval, which operates a food-dominant retail outlet under the Intermarché brand in Valognes (50), the company Davial, which operates a food-dominant retail outlet under the Intermarché brand in Carentan (50), as well as the companies Cafico and Kettou, which respectively operate two food-dominant retail outlets under the Intermarché and Netto brands located in Quettehou (50).  </w:t>
        <w:br/>
        <w:t xml:space="preserve">3. Somatur is a French law company that operates a food-dominant retail business under the Intermarché brand, with a surface area of 2,669 m² and located in the city of Tourlaville (50). It is currently controlled by the Intermarché group.  </w:t>
        <w:br/>
        <w:t xml:space="preserve">4. Upon completion of the transaction, the capital of the company Somatur will be held at […]% by [confidential], directly or indirectly by the company Cafico, and at […]% by ITM Alimentaire Ouest. The company ITM Entreprises will hold a preference share granting it joint control. Indeed, the statutes of Somatur grant ITM Entreprises, for a period of 15 years from the acquisition of shares by the majority partner, the right to oppose any change of brand (Articles 19.1.1 and 18.1.2 of the statutes). ITM Entreprises will also be able to block any transfer of shares and compel the partners holding ordinary shares to sell their shares in the event of a change in their control or as soon as they operate a similar business under a competing brand (Article 11.1 of the statutes). After 15 years, if ITM Entreprises no longer has the ability to block any change of brand or oppose any transfer of shares, it retains a right of preference on any sale of shares for an additional 5 years (Article 11.2 of the statutes). As the Authority has already considered on numerous occasions, these provisions will give ITM Entreprises control over the company Somatur, jointly with that exercised by [confidential].  </w:t>
        <w:br/>
        <w:t xml:space="preserve">5. Insofar as it results in the joint control of the company Somatur by [confidential] and ITM Entreprises, the notified operation is a concentration within the meaning of Article L. 430-1 of the Commercial Code.  </w:t>
        <w:br/>
        <w:t>6. The companies concerned together achieve a total worldwide turnover of more than 150 million euros (ITM Entreprises: […] euros for the fiscal year ending December 31, 2010; [Confidential]: […] euros for the same fiscal year). At least two of these companies generate a turnover in France exceeding 50 million euros (ITM Entreprises: […] euros for the fiscal year ending December 31, 2010; [Confidential]: […]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7. According to the consistent practice of national and community competition authorities, two categories of markets can be defined in the food distribution sector. On the one hand, there are the "downstream" markets, of local dimension, which bring together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8.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breadth of the product ranges offered: (i) hypermarkets, (ii) supermarkets, (iii) specialized trade, (iv) small retail trade, (v) maxi discounters, (vi) mail order.  </w:t>
        <w:br/>
        <w:t xml:space="preserve">9. Supermarkets are usually defined as food-dominant stores with a sales area of less than 2,500 m² and greater than 400 m². However, it should be noted that these thresholds should be used with caution and may be adapted to the specific case, given that stores whose area is close to a threshold, either below or above, may find themselves in direct competition with the facts.  </w:t>
        <w:br/>
        <w:t xml:space="preserve">10. Hypermarkets are usually defined as food-dominant stores with a sales area equal to or greater than 2,500 m².  </w:t>
        <w:br/>
        <w:t xml:space="preserve">11. In the specific case, the store concerned by the operation occupies a sales area of 2,669 m². It therefore falls into the category of hypermarkets.  </w:t>
        <w:br/>
        <w:t xml:space="preserve">2. GEOGRAPHICAL DELIMITATION  </w:t>
        <w:br/>
        <w:t xml:space="preserve">12. In its recent decisions regarding operations involving hypermarkets or supermarkets, the Competition Authority has recalled that two types of markets are usually distinguished, based on catchment areas:  </w:t>
        <w:br/>
        <w:t xml:space="preserve">- a first market where the demand of consumers in an area meets the supply of hypermarkets to which they have access within less than 30 minutes of driving and which are, from their point of view, substitutable for each other  </w:t>
        <w:br/>
        <w:t>- a second market where the demand of consumers meets the supply of supermarkets and equivalent forms of commerce located within less than 15 minutes of driving time. These latter forms of commerce may include, in addition to the</w:t>
      </w:r>
    </w:p>
    <w:p>
      <w:r>
        <w:rPr>
          <w:b/>
        </w:rPr>
        <w:t>[Pages 4–5]</w:t>
      </w:r>
    </w:p>
    <w:p>
      <w:r>
        <w:t xml:space="preserve">supermarkets, hypermarkets located near consumers, and discount stores.  </w:t>
        <w:br/>
        <w:t xml:space="preserve">13. Other criteria may nevertheless be considered to assess the impact of a concentration on the competitive situation in retail distribution markets, which may lead to refining, in the specific case, the usual boundaries presented above.  </w:t>
        <w:br/>
        <w:t xml:space="preserve">14. In the specific case, the competitive analysis will therefore focus on the market including hypermarkets located within a 30-minute radius around Tourlaville (50) and on the one including all supermarkets and other equivalent forms of commerce located within a 15-minute catchment area around the same city.  </w:t>
        <w:br/>
        <w:t xml:space="preserve">B. UPSTREAM SUPPLY MARKET  </w:t>
        <w:br/>
        <w:t xml:space="preserve">15. Regarding the supply markets, the European Commission has recognized the existence of national dimension markets by major product groups, a delimitation followed by national authorities.  </w:t>
        <w:br/>
        <w:t xml:space="preserve">16. There is no reason to challenge this delimitation in the context of the present operation.  </w:t>
        <w:br/>
        <w:t xml:space="preserve">III. Competitive Analysis  </w:t>
        <w:br/>
        <w:t xml:space="preserve">A. DOWNSTREAM DISTRIBUTION MARKETS  </w:t>
        <w:br/>
        <w:t xml:space="preserve">17. In the market including hypermarkets located within a 30-minute driving radius around the city of Tourlaville (50), the hypermarket operated by the company Somatur represents 4.1% of market shares expressed in sales area. Also present in the Tourlaville (50) area are three hypermarkets under the Intermarché brand located in Quettehou (4%), Valognes (4.6%), and Cherbourg-Octeville (4.5%). The hypermarkets operated by the ITM Entreprises group therefore represent a cumulative market share of 17.2%. These retail outlets face competition from a hypermarket under the Auchan brand (16.3%), four under the Leclerc brand (38.6%), and three under the Carrefour brand (27.9%).  </w:t>
        <w:br/>
        <w:t xml:space="preserve">18. In the market including hypermarkets, supermarkets, and equivalent forms of commerce located within a 15-minute driving radius around the city of Tourlaville (50), the hypermarket operated by the company Somatur represents 5.7% of market shares expressed in sales area. Also present in the Tourlaville (50) area are a supermarket under the Intermarché brand located in Octeville (4.3%) and a hypermarket under the Intermarché brand located in Cherbourg-Octeville (6.1%). The stores operated by the ITM Entreprises group therefore represent a cumulative market share of 16.1%. These retail outlets face competition from numerous stores under brands of groups specialized in food distribution such as Auchan (22.3%), Carrefour (35.3%), Leclerc (10.2%), Casino (5.9%), Lidl (2.3%), Système U (2.1%), or Aldi (1.1%).  </w:t>
        <w:br/>
        <w:t xml:space="preserve">19. Given the preceding elements, the operation is not likely to harm competition in the relevant markets.  </w:t>
        <w:br/>
        <w:t xml:space="preserve">B. UPSTREAM SUPPLY MARKET  </w:t>
        <w:br/>
        <w:t xml:space="preserve">20. Regarding the upstream supply markets, the operation, which concerns only one store, is not likely to significantly strengthen the purchasing power of the ITM Entreprises group, whether for all products combined or by major product groups.  </w:t>
        <w:br/>
        <w:t xml:space="preserve">21. Therefore, the operation is not likely to harm competition both in the downstream market and in the upstream supply market.  </w:t>
        <w:br/>
        <w:t xml:space="preserve">DECIDES  </w:t>
        <w:br/>
        <w:t xml:space="preserve">Sole Article: the operation notified under number 12-144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