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https://www.autoritedelaconcurrence.fr/fr/decision-de-controle-des-concentrations/relative-la-prise-de-controle-conjoint-de-la-societe-291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25-DCC-245 of October 22, 2025</w:t>
        <w:br/>
        <w:t>regarding the joint control acquisition of the company Elnejack by the</w:t>
        <w:br/>
        <w:t>companies Chlomallie and ITM Entreprises</w:t>
        <w:br/>
        <w:t>The Competition Authority,</w:t>
        <w:br/>
        <w:t>Having regard to the complete notification file sent to the mergers department on October 7, 2025,</w:t>
        <w:br/>
        <w:t>concerning the joint control acquisition of the company Elnejack by the companies Chlomallie and</w:t>
        <w:br/>
        <w:t>ITM Entreprises, formalized by the conclusion of a share transfer agreement on</w:t>
        <w:br/>
        <w:t>September 10,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by the company Chlomallie, with ITM Entreprises</w:t>
        <w:br/>
        <w:t>retaining a preference share, of almost all the shares of the company Elnejack,</w:t>
        <w:br/>
        <w:t>which operates a retail business primarily focused on food under the Intermarché brand, with a sales area of 2,652 m², located in Elne (66). This operation constitutes</w:t>
        <w:br/>
        <w:t>a concentration within the meaning of Article L. 430-1 of the Commercial Code. Given the turnover</w:t>
        <w:br/>
        <w:t>achieved by the companies concerned, the operation does not fall under the jurisdiction of</w:t>
        <w:br/>
        <w:t>the European Union. However,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25-268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