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https://www.autoritedelaconcurrence.fr/fr/decision-de-controle-des-concentrations/relative-la-prise-de-controle-conjoint-de-la-societe-292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25-DCC-257 of November 3, 2025</w:t>
        <w:br/>
        <w:t>regarding the joint control acquisition of the company Juliena by the</w:t>
        <w:br/>
        <w:t>companies Pyanine and ITM Entreprises</w:t>
        <w:br/>
        <w:t>The Competition Authority,</w:t>
        <w:br/>
        <w:t>Having regard to the complete notification file submitted to the mergers department on October 17, 2025,</w:t>
        <w:br/>
        <w:t>concerning the joint control acquisition of the company Juliena by the companies Pyanine and</w:t>
        <w:br/>
        <w:t>ITM Entreprises, formalized by a letter of intent signed on July 18,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Pyanine of almost all of the</w:t>
        <w:br/>
        <w:t>shares, with the company ITM Entreprises retaining a preferred share, of the company Juliena,</w:t>
        <w:br/>
        <w:t>which has the purpose of operating a retail business predominantly focused on food under the Intermarché brand with a sales area of 3,133 m² in the city of Bresles (60). Given the revenues generated by the companies involved,</w:t>
        <w:br/>
        <w:t>the operation does not fall under the jurisdiction of the European Union. However, the control thresholds mentioned in II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25-278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