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https://www.autoritedelaconcurrence.fr/fr/decision-de-controle-des-concentrations/relative-la-prise-de-controle-conjoint-de-la-societe-295</w:t>
      </w:r>
    </w:p>
    <w:p>
      <w:r>
        <w:t>Pages translated : 2</w:t>
      </w:r>
    </w:p>
    <w:p/>
    <w:p>
      <w:r>
        <w:rPr>
          <w:b/>
        </w:rPr>
        <w:t>[Pages 1–2]</w:t>
      </w:r>
    </w:p>
    <w:p>
      <w:r>
        <w:t xml:space="preserve">FRENCH REPUBLIC  </w:t>
        <w:br/>
        <w:t xml:space="preserve">Decision No. 25-DCC-285 of November 19, 2025  </w:t>
        <w:br/>
        <w:t xml:space="preserve">regarding the joint control acquisition of the company Greece 46 by the  </w:t>
        <w:br/>
        <w:t xml:space="preserve">companies Levant Armor, Caponga, and Hecau, alongside the company  </w:t>
        <w:br/>
        <w:t xml:space="preserve">ITM Entreprises  </w:t>
        <w:br/>
        <w:t xml:space="preserve">The Competition Authority,  </w:t>
        <w:br/>
        <w:t xml:space="preserve">Having regard to the complete notification file submitted to the mergers department on October 21, 2025,  </w:t>
        <w:br/>
        <w:t xml:space="preserve">concerning the joint control acquisition of the company Greece 46 by the companies Levant Armor,  </w:t>
        <w:br/>
        <w:t xml:space="preserve">Caponga, and Hecau, alongside the company ITM Entreprises, formalized by a promise  </w:t>
        <w:br/>
        <w:t xml:space="preserve">of acquisition signed on October 7,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companies Levant Armor, Caponga, and Hecau,  </w:t>
        <w:br/>
        <w:t xml:space="preserve">of almost all of the capital of the company Greece 46, with ITM Entreprises retaining a preferred share. The company Greece 46 operates a retail business primarily focused on food with a surface area of 1,707 m², under the Intermarché brand (formerly Casino), located in Paris, in the 15th arrondissement. The operation constitutes a concentration within the meaning of  </w:t>
        <w:br/>
        <w:t xml:space="preserve">Article L. 430-1 of the Commercial Code. Given the turnover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25-288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