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https://www.autoritedelaconcurrence.fr/fr/decision-de-controle-des-concentrations/relative-la-prise-de-controle-conjoint-de-la-societe-296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25-DCC-290 of November 20, 2025</w:t>
        <w:br/>
        <w:t>regarding the joint control acquisition of the company Muruets by the</w:t>
        <w:br/>
        <w:t>companies Valtherain and ITM Entreprises</w:t>
        <w:br/>
        <w:t>The Competition Authority,</w:t>
        <w:br/>
        <w:t>Having regard to the complete notification file submitted to the mergers department on October 22, 2025,</w:t>
        <w:br/>
        <w:t>concerning the joint control acquisition of the company Muruets by the companies Valtherain and</w:t>
        <w:br/>
        <w:t>ITM Entreprises, formalized by a letter of intent accepted on August 2,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Valtherain of almost all of the</w:t>
        <w:br/>
        <w:t>capital, with ITM Entreprises retaining a preferred share, of the company Muruets, which has</w:t>
        <w:br/>
        <w:t>the purpose of operating a food-dominant business with a surface area of 3,867 m² under the brand "Intermarché," located in Clermont (60). The operation constitutes a</w:t>
        <w:br/>
        <w:t>concentration operation within the meaning of Article L. 430-1 of the Commercial Code. Given the</w:t>
        <w:br/>
        <w:t>turnover generated by the companies concerned, the operation does not fall under the</w:t>
        <w:br/>
        <w:t>jurisdiction of the European Union. On the other hand, the retail control thresholds mentioned in II of Article L. 430-2 of the Commercial Code are exceeded. This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25-292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