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https://www.autoritedelaconcurrence.fr/fr/decision-de-controle-des-concentrations/relative-la-prise-de-controle-conjoint-de-la-societe-2f-par</w:t>
      </w:r>
    </w:p>
    <w:p>
      <w:r>
        <w:t>Pages translated : 2</w:t>
      </w:r>
    </w:p>
    <w:p/>
    <w:p>
      <w:r>
        <w:rPr>
          <w:b/>
        </w:rPr>
        <w:t>[Pages 1–2]</w:t>
      </w:r>
    </w:p>
    <w:p>
      <w:r>
        <w:t>FRENCH REPUBLIC</w:t>
        <w:br/>
        <w:t>Decision No. 24-DCC-68 of April 12, 2024</w:t>
        <w:br/>
        <w:t>regarding the joint control acquisition of company 2F by company IDI alongside company Frasteya</w:t>
        <w:br/>
        <w:t>The Competition Authority,</w:t>
      </w:r>
    </w:p>
    <w:p>
      <w:r>
        <w:t>Having regard to the notification file sent to the mergers department on June 23, 2023, declared complete on April 4, 2024, concerning the joint control acquisition of company 2F, through its parent company Ekoinvest, by company IDI alongside company Frasteya, formalized by an amendment to the shareholders' agreement of company Ekoinvest dated March 27, 2024;</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Adopts the following decision:</w:t>
        <w:br/>
        <w:t>1. The notified operation consists of the joint control acquisition by the investment company IDI alongside company Frasteya of company 2F, active in the sector of clothing and sports equipment distribution.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23-049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