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https://www.autoritedelaconcurrence.fr/fr/decision-de-controle-des-concentrations/relative-la-prise-de-controle-conjoint-de-la-societe-30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12-DCC-139 of September 26, 2012  </w:t>
        <w:br/>
        <w:t xml:space="preserve">regarding the joint control acquisition of the company Flojeni SAS  </w:t>
        <w:br/>
        <w:t xml:space="preserve">by the companies Anterne and 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5, 2012, concerning the joint control acquisition of the company Flojeni SAS by the  </w:t>
        <w:br/>
        <w:t xml:space="preserve">companies Anterne and ITM Entreprises, formalized by a share transfer agreement dated July 17,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company Anterne is a family-owned company that operates a retail store with a focus on food under the brand Intermarché located in Cuines (73). The notified operation consists of the joint control acquisition of the company Flojeni SAS, which operates a retail business focused on food under the Intermarché brand with a surface area of 960 m2 in Sollières-Sardières (73), by the companies ITM Entreprises and Anterne. It constitutes a concentration operation within the meaning of Article L. 430-1 of the Commercial Code. Given the turnover achieved by the companies involved,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12-149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