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https://www.autoritedelaconcurrence.fr/fr/decision-de-controle-des-concentrations/relative-la-prise-de-controle-conjoint-de-la-societe-300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25-DCC-317 of December 11, 2025</w:t>
        <w:br/>
        <w:t>regarding the joint control acquisition of the company Calao 7 by the</w:t>
        <w:br/>
        <w:t>company Billeg alongside the company ITM Entreprises</w:t>
        <w:br/>
        <w:t>The Competition Authority,</w:t>
        <w:br/>
        <w:t>Having regard to the complete notification file submitted to the mergers department on</w:t>
        <w:br/>
        <w:t>November 25, 2025, concerning the joint control acquisition of the company Calao 7 by the company</w:t>
        <w:br/>
        <w:t>Billeg alongside the company ITM Entreprises, formalized by a share acquisition promise concluded on November 19, 20, and 21,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Billeg of almost all of the capital</w:t>
        <w:br/>
        <w:t>of the company Calao 7, with ITM Entreprises retaining a preferred share. The company Calao 7</w:t>
        <w:br/>
        <w:t>operates a retail business primarily focused on food with a surface area of</w:t>
        <w:br/>
        <w:t>1,794 m², under the brand Intermarché (formerly Casino), located in Arcachon (33). The operation</w:t>
        <w:br/>
        <w:t>constitutes a concentration within the meaning of Article L. 430-1 of the Commercial Code. Given</w:t>
        <w:br/>
        <w:t>the turnover generated by the companies involved, the operation does not fall under the</w:t>
        <w:br/>
        <w:t>jurisdiction of the European Union. However, the control thresholds mentioned in II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25-335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