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https://www.autoritedelaconcurrence.fr/fr/decision-de-controle-des-concentrations/relative-la-prise-de-controle-conjoint-de-la-societe-301</w:t>
      </w:r>
    </w:p>
    <w:p>
      <w:r>
        <w:t>Pages translated : 2</w:t>
      </w:r>
    </w:p>
    <w:p/>
    <w:p>
      <w:r>
        <w:rPr>
          <w:b/>
        </w:rPr>
        <w:t>[Pages 1–2]</w:t>
      </w:r>
    </w:p>
    <w:p>
      <w:r>
        <w:t xml:space="preserve">FRENCH REPUBLIC  </w:t>
        <w:br/>
        <w:t xml:space="preserve">Decision No. 25-DCC-312 of December 11, 2025  </w:t>
        <w:br/>
        <w:t xml:space="preserve">regarding the joint control acquisition of the company Ludivan by the  </w:t>
        <w:br/>
        <w:t xml:space="preserve">companies Caraleine and ITM Entreprises  </w:t>
        <w:br/>
        <w:t xml:space="preserve">The Competition Authority,  </w:t>
        <w:br/>
        <w:t xml:space="preserve">Having regard to the complete notification file sent to the mergers department on  </w:t>
        <w:br/>
        <w:t xml:space="preserve">November 26, 2025, concerning the joint control acquisition of the company Ludivan by the companies  </w:t>
        <w:br/>
        <w:t xml:space="preserve">Caraleine and ITM Entreprises formalized by a letter of intent accepted on October 13,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Caraleine of almost all the  </w:t>
        <w:br/>
        <w:t xml:space="preserve">shares, with the company ITM Entreprises retaining one preferred share, of the company Ludivan.  </w:t>
        <w:br/>
        <w:t xml:space="preserve">The latter has the purpose of operating a retail point of sale predominantly selling food under the Intermarché brand, with a sales area of 5,234 m², located in the city of Beauvais (60).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25-338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