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https://www.autoritedelaconcurrence.fr/fr/decision-de-controle-des-concentrations/relative-la-prise-de-controle-conjoint-de-la-societe-302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25-DCC-322 of December 16, 2025  </w:t>
        <w:br/>
        <w:t xml:space="preserve">regarding the joint control acquisition of the company Saintmar by the  </w:t>
        <w:br/>
        <w:t xml:space="preserve">companies Florian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1, 2025, concerning the joint control acquisition of the company Saintmar by the companies  </w:t>
        <w:br/>
        <w:t xml:space="preserve">Florian and ITM Entreprises, formalized by a transfer agreement signed on  </w:t>
        <w:br/>
        <w:t xml:space="preserve">November 18,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Florian of almost all the  </w:t>
        <w:br/>
        <w:t xml:space="preserve">shares, with the company ITM Entreprises retaining a preferred share, of the company Saintmar,  </w:t>
        <w:br/>
        <w:t xml:space="preserve">which has as its object the operation of a retail business predominantly in food under the Intermarché brand with a sales area of 2,384 m² in the city of  </w:t>
        <w:br/>
        <w:t xml:space="preserve">Marseille (13).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mentioned in II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25-344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