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https://www.autoritedelaconcurrence.fr/fr/decision-de-controle-des-concentrations/relative-la-prise-de-controle-conjoint-de-la-societe-304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26-DCC-60 of March 10, 2026  </w:t>
        <w:br/>
        <w:t xml:space="preserve">regarding the joint control acquisition of the company Muruets by the  </w:t>
        <w:br/>
        <w:t xml:space="preserve">company Telipe alongside the company ITM Entreprises  </w:t>
        <w:br/>
        <w:t xml:space="preserve">The Competition Authority,  </w:t>
        <w:br/>
        <w:t xml:space="preserve">Having regard to the complete notification file submitted to the mergers department on February 23, 2026,  </w:t>
        <w:br/>
        <w:t xml:space="preserve">concerning the joint control acquisition of the company Muruets by the company Telipe alongside the  </w:t>
        <w:br/>
        <w:t xml:space="preserve">company ITM Entreprises, formalized by a letter of intent dated February 6,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Muruets by the company  </w:t>
        <w:br/>
        <w:t xml:space="preserve">Telipe alongside the company ITM Entreprises. The company Muruets operates a retail business primarily focused on food in the form of a hypermarket with a sales area of  </w:t>
        <w:br/>
        <w:t xml:space="preserve">3,867 m², under the Intermarché brand, located in the municipality of Clermont (60). The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26-045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