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https://www.autoritedelaconcurrence.fr/fr/decision-de-controle-des-concentrations/relative-la-prise-de-controle-conjoint-de-la-societe-308</w:t>
      </w:r>
    </w:p>
    <w:p>
      <w:r>
        <w:t>Pages translated : 2</w:t>
      </w:r>
    </w:p>
    <w:p/>
    <w:p>
      <w:r>
        <w:rPr>
          <w:b/>
        </w:rPr>
        <w:t>[Pages 1–2]</w:t>
      </w:r>
    </w:p>
    <w:p>
      <w:r>
        <w:t xml:space="preserve">FRENCH REPUBLIC  </w:t>
        <w:br/>
        <w:t xml:space="preserve">Decision No. 26-DCC-102 of April 24, 2026  </w:t>
        <w:br/>
        <w:t xml:space="preserve">regarding the joint control acquisition of the Société Cannoise de Construction et d’Aménagement by the Caisse des dépôts et consignations, Action Logement Immobilier, the city of Cannes, and the Cannes Pays de Lérins Agglomeration Community  </w:t>
        <w:br/>
        <w:t xml:space="preserve">The Competition Authority,  </w:t>
        <w:br/>
        <w:t xml:space="preserve">Having regard to the complete notification file submitted to the mergers department on March 26, 2026, concerning the joint control acquisition of the Société Cannoise de Construction et d’Aménagement by the Caisse des dépôts et consignations, Action Logement Immobilier, the city of Cannes, and the Cannes Pays de Lérins Agglomeration Community, formalized notably by a commitment note from the CDC dated November 13, 2025, a shareholders' agreement and [confidential] of December 15, 2025;  </w:t>
        <w:br/>
        <w:t xml:space="preserve">Having regard to Book IV of the Commercial Code relating to price freedom and competition, and in particular its Articles L. 430-1 to L. 430-7;  </w:t>
        <w:br/>
        <w:t xml:space="preserve">Adopts the following decision:  </w:t>
        <w:br/>
        <w:t xml:space="preserve">1. The notified operation consists of the acquisition of joint control of the mixed-economy company Société Cannoise de Construction et d’Aménagement (“SOCACONAM”) by the Caisse des dépôts et consignations group and the Action Logement group, via its subsidiary Action Logement Immobilier, alongside the city of Cannes and the Cannes Pays de Lérins Agglomeration Community. SOCACONAM manages a real estate portfolio, including the assets of the Public Housing Office Cannes Pays de Lérins, which is mainly composed of social housing located in the Alpes-Maritimes department, particularly in the Cannes agglomeration. The operation constitutes a concentration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26-072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