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https://www.autoritedelaconcurrence.fr/fr/decision-de-controle-des-concentrations/relative-la-prise-de-controle-conjoint-de-la-societe-309</w:t>
      </w:r>
    </w:p>
    <w:p>
      <w:r>
        <w:t>Pages translated : 2</w:t>
      </w:r>
    </w:p>
    <w:p/>
    <w:p>
      <w:r>
        <w:rPr>
          <w:b/>
        </w:rPr>
        <w:t>[Pages 1–2]</w:t>
      </w:r>
    </w:p>
    <w:p>
      <w:r>
        <w:t>REPUBLIC OF FRANCE</w:t>
        <w:br/>
        <w:t>Decision No. 26-DCC-101 of April 24, 2026</w:t>
        <w:br/>
        <w:t>regarding the joint control acquisition of the company Federation Studios</w:t>
        <w:br/>
        <w:t>by the companies Montefiore Investment and Mr. Pascal Breton</w:t>
        <w:br/>
        <w:t>Participation</w:t>
        <w:br/>
        <w:t>The Competition Authority,</w:t>
        <w:br/>
        <w:t>Having regard to the complete notification file sent to the mergers department on March 25, 2026,</w:t>
        <w:br/>
        <w:t>concerning the joint control acquisition of the company Federation Studios by the companies Montefiore</w:t>
        <w:br/>
        <w:t>Investment and Mr. Pascal Breton Participation, formalized by an agreement on partial liquidity and governance of the target dated March 19, 2026;</w:t>
        <w:br/>
        <w:t>Having regard to Book IV of the Commercial Code relating to the freedom of prices and competition, and</w:t>
        <w:br/>
        <w:t>notably its Articles L. 430-1 to L. 430-7;</w:t>
        <w:br/>
        <w:t>Adopts the following decision:</w:t>
        <w:br/>
        <w:t>1. The notified operation consists of the modification of the governance of the company Federation</w:t>
        <w:br/>
        <w:t>Studios (“the target”) by the conclusion of an agreement between the fund Montefiore Investment V</w:t>
        <w:br/>
        <w:t>SLP, managed and controlled by Montefiore Investment SAS (“Montefiore”), and Mr. Pascal</w:t>
        <w:br/>
        <w:t>Breton, partner and managing shareholder of the company Pascal Breton Participation. By this agreement,</w:t>
        <w:br/>
        <w:t>Montefiore will benefit from veto rights over the governance of the target. This modification of</w:t>
        <w:br/>
        <w:t>control over the target occurs within the framework of a restructuring of Mr. Pascal Breton's functions in exchange for a partial liquidity operation for the benefit of the latter.</w:t>
        <w:br/>
        <w:t>The sector concerned by the operation is that of audiovisual production. Insofar as it results in the transition from exclusive control to joint control over the target, the operation constitutes a concentration within the meaning of Article L. 430-1 of the Commercial Code. Given the revenues generated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26-082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