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https://www.autoritedelaconcurrence.fr/fr/decision-de-controle-des-concentrations/relative-la-prise-de-controle-conjoint-de-la-societe-310</w:t>
      </w:r>
    </w:p>
    <w:p>
      <w:r>
        <w:t>Pages translated : 2</w:t>
      </w:r>
    </w:p>
    <w:p/>
    <w:p>
      <w:r>
        <w:rPr>
          <w:b/>
        </w:rPr>
        <w:t>[Pages 1–2]</w:t>
      </w:r>
    </w:p>
    <w:p>
      <w:r>
        <w:t xml:space="preserve">French Republic  </w:t>
        <w:br/>
        <w:t xml:space="preserve">Decision No. 26-DCC-100 of April 24, 2026  </w:t>
        <w:br/>
        <w:t>regarding the joint control acquisition of the company Chaillol by the companies Ocotal and ITM Entreprises</w:t>
      </w:r>
    </w:p>
    <w:p>
      <w:r>
        <w:t>The Competition Authority,</w:t>
      </w:r>
    </w:p>
    <w:p>
      <w:r>
        <w:t>Having regard to the complete notification file submitted to the mergers department on April 3, 2026, concerning the joint control acquisition of the company Chaillol by the company Ocotal alongside the company ITM Entreprises, formalized by a letter of intent dated September 5, 2025;</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company Ocotal, of almost all the shares of the company Chaillol, with ITM Entreprises retaining a preferred share in the latter. The company Chaillol operates a business under the Intermarché brand with a sales area of 1,455 m² in La-Fare-en-Champsaur (05).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26-090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