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https://www.autoritedelaconcurrence.fr/fr/decision-de-controle-des-concentrations/relative-la-prise-de-controle-conjoint-de-la-societe-311</w:t>
      </w:r>
    </w:p>
    <w:p>
      <w:r>
        <w:t>Pages translated : 2</w:t>
      </w:r>
    </w:p>
    <w:p/>
    <w:p>
      <w:r>
        <w:rPr>
          <w:b/>
        </w:rPr>
        <w:t>[Pages 1–2]</w:t>
      </w:r>
    </w:p>
    <w:p>
      <w:r>
        <w:t xml:space="preserve">FRENCH REPUBLIC  </w:t>
        <w:br/>
        <w:t xml:space="preserve">Decision No. 26-DCC-113 of May 11, 2026  </w:t>
        <w:br/>
        <w:t xml:space="preserve">regarding the joint control acquisition of the company Langoustier by the  </w:t>
        <w:br/>
        <w:t xml:space="preserve">companies Thoronilf and ITM Entreprises  </w:t>
        <w:br/>
        <w:t xml:space="preserve">The Competition Authority,  </w:t>
        <w:br/>
        <w:t xml:space="preserve">Having regard to the complete notification file submitted to the mergers department on April 21, 2026,  </w:t>
        <w:br/>
        <w:t xml:space="preserve">concerning the joint control acquisition of the company Langoustier by the companies Thoronilf and  </w:t>
        <w:br/>
        <w:t xml:space="preserve">ITM Entreprises, formalized by a letter of intent signed on April 20, 2026;  </w:t>
        <w:br/>
        <w:t xml:space="preserve">Having regard to Book IV of the Commercial Code relating to the freedom of prices and competition, and  </w:t>
        <w:br/>
        <w:t xml:space="preserve">notably its Articles L. 430-1 to L. 430-7;  </w:t>
        <w:br/>
        <w:t xml:space="preserve">Adopts the following decision:  </w:t>
        <w:br/>
        <w:t xml:space="preserve">1. The notified operation consists of the joint control acquisition by the company Thoronilf, alongside  </w:t>
        <w:br/>
        <w:t xml:space="preserve">the company ITM Entreprises, of a retail business predominantly in food of the supermarket type with a sales area of 999 m², under the Intermarché brand, in Villette-de-Vienne (38). The operation constitutes a concentration, within the meaning of Article L. 430-1 of the Commercial Code. Given the turnover achieved by the companies concerned, the operation does not fall under the jurisdiction of the European Union. However, the control thresholds mentioned in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26-102 is authorized.  </w:t>
        <w:br/>
        <w:t xml:space="preserve">The Vice-President,  </w:t>
        <w:br/>
        <w:t xml:space="preserve">Thibaud Vergé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