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https://www.autoritedelaconcurrence.fr/fr/decision-de-controle-des-concentrations/relative-la-prise-de-controle-conjoint-de-la-societe-312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26-DCC-118 of May 13, 2026  </w:t>
        <w:br/>
        <w:t xml:space="preserve">regarding the joint control acquisition of the company Vimopres  </w:t>
        <w:br/>
        <w:t xml:space="preserve">by the company Maharya alongside the company ITM Entreprises  </w:t>
        <w:br/>
        <w:t xml:space="preserve">The Competition Authority,  </w:t>
        <w:br/>
        <w:t xml:space="preserve">Having regard to the complete notification file sent to the mergers department on April 24, 2026,  </w:t>
        <w:br/>
        <w:t xml:space="preserve">concerning the joint control acquisition of the company Vimopres by the company Maharya alongside  </w:t>
        <w:br/>
        <w:t xml:space="preserve">the company ITM Entreprises, formalized by a letter of intent dated December 19, 2025;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of the company Vimopres by the  </w:t>
        <w:br/>
        <w:t xml:space="preserve">company Maharya, alongside the company ITM Entreprises. The company Vimopres operates a  </w:t>
        <w:br/>
        <w:t xml:space="preserve">retail business primarily focused on food of the supermarket type with a sales area of  </w:t>
        <w:br/>
        <w:t xml:space="preserve">2,000 m², under the Intermarché brand, located in the municipality of Gasny (27).  </w:t>
        <w:br/>
        <w:t xml:space="preserve">The operation constitutes a concentration within the meaning of Article L. 430-1 of the Commercial Code.  </w:t>
        <w:br/>
        <w:t xml:space="preserve">Given the turnover achieved by the companies concerned, the operation does not fall under the  </w:t>
        <w:br/>
        <w:t xml:space="preserve">jurisdiction of the European Union. On the other hand, the control thresholds mentioned  </w:t>
        <w:br/>
        <w:t xml:space="preserve">in II of Article L. 430-2 of the Commercial Code are exceeded. This operation is therefore  </w:t>
        <w:br/>
        <w:t xml:space="preserve">subject to the provisions of Articles L. 430-3 and following of the Commercial Code relating to  </w:t>
        <w:br/>
        <w:t xml:space="preserve">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26-107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