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12-DCC-158 of November 14, 2012  </w:t>
        <w:br/>
        <w:t xml:space="preserve">regarding the joint control acquisition of the company Caconio by the  </w:t>
        <w:br/>
        <w:t xml:space="preserve">companies Axeloïse and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October 10, 2012, concerning the joint control acquisition of the company Caconio by the company  </w:t>
        <w:br/>
        <w:t xml:space="preserve">Axeloïse alongside ITM Entreprises formalized by a share transfer agreement dated April 11,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Axeloïse is the holding company of the Chico family. It controls the company Cournon, which  </w:t>
        <w:br/>
        <w:t xml:space="preserve">operates a food distribution business under the Intermarché brand, in Cournonsec (34). The notified operation consists of the joint control acquisition of the company Caconio, which operates a food distribution business under the Intermarché brand with a surface area of 1,011 m² in Balaruc-les-Bains (34), by the company Axeloïse, alongside the company ITM Entreprises. It constitutes a concentration operation within the meaning of Article L. 430-1 of the Commercial Code. Given the turnover achieved by the companies concerned, the operation does not have a community dimension. On the other hand,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12-167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