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12-DCC-182 of December 21, 2012  </w:t>
        <w:br/>
        <w:t xml:space="preserve">regarding the joint control acquisition of the company Chrislodia by the  </w:t>
        <w:br/>
        <w:t xml:space="preserve">company Charlav and the company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28, 2012, concerning the joint control acquisition of the company Chrislodia by the company  </w:t>
        <w:br/>
        <w:t xml:space="preserve">Charlav alongside the company ITM Entreprises, formalized by a share transfer agreement, subject to  </w:t>
        <w:br/>
        <w:t xml:space="preserve">suspensive conditions, dated November 20,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Chrislodia, which  </w:t>
        <w:br/>
        <w:t xml:space="preserve">operates a retail business primarily focused on food under the Intermarché brand with a surface area  </w:t>
        <w:br/>
        <w:t xml:space="preserve">of 719 m2 in Seppois-le-Haut (68), by the company Charlav, which is itself active in food retail in the  </w:t>
        <w:br/>
        <w:t xml:space="preserve">Territory of Belfort (90), alongside the company ITM Entreprises. It constitutes a concentration operation  </w:t>
        <w:br/>
        <w:t xml:space="preserve">within the meaning of Article L. 430-1 of the Commercial Code. Given the revenues generated by the  </w:t>
        <w:br/>
        <w:t xml:space="preserve">concerned companies, the operation does not have a community dimension. On the other hand, the  </w:t>
        <w:br/>
        <w:t xml:space="preserve">retail control thresholds mentioned in point II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notified operation under number 12-200 is authorized.  </w:t>
        <w:br/>
        <w:t xml:space="preserve">The Vice-President,  </w:t>
        <w:br/>
        <w:t xml:space="preserve">Françoise Aubert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