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https://www.autoritedelaconcurrence.fr/fr/decision-de-controle-des-concentrations/relative-la-prise-de-controle-conjoint-de-la-societe-36</w:t>
      </w:r>
    </w:p>
    <w:p>
      <w:r>
        <w:t>Pages translated : 2</w:t>
      </w:r>
    </w:p>
    <w:p/>
    <w:p>
      <w:r>
        <w:rPr>
          <w:b/>
        </w:rPr>
        <w:t>[Pages 1–2]</w:t>
      </w:r>
    </w:p>
    <w:p>
      <w:r>
        <w:t xml:space="preserve">FRENCH REPUBLIC  </w:t>
        <w:br/>
        <w:t xml:space="preserve">Decision No. 12-DCC-37 of March 21, 2012  </w:t>
        <w:br/>
        <w:t>concerning the joint control of the company Bernard Participations by the Alcopa group</w:t>
      </w:r>
    </w:p>
    <w:p>
      <w:r>
        <w:t>The Competition Authority,</w:t>
      </w:r>
    </w:p>
    <w:p>
      <w:r>
        <w:t xml:space="preserve">Having regard to the complete notification file submitted to the mergers department on February 29, 2012, concerning the joint control of the company Bernard Participations by the company Moorkens Distribution, a 100% subsidiary of the Alcopa group;  </w:t>
        <w:br/>
        <w:t>Having regard to Book IV of the Commercial Code relating to the freedom of prices and competition, and in particular its Articles L. 430-1 to L. 430-7;</w:t>
      </w:r>
    </w:p>
    <w:p>
      <w:r>
        <w:t>Adopts the following decision:</w:t>
      </w:r>
    </w:p>
    <w:p>
      <w:r>
        <w:t xml:space="preserve">1. The notified operation consists of the joint control of the company Bernard Participations, operating various car dealerships in several French departments, by the Alcopa group, which is itself active in the distribution of motor vehicles primarily in Belgium and Luxembourg. It constitutes a concentration operation within the meaning of Article L. 430-1 of the Commercial Code. Given the turnover generated by the companies concerned, the operation does not have a community dimension. However,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12-010 is authorized.  </w:t>
        <w:br/>
        <w:t xml:space="preserve">The Vice-President,  </w:t>
        <w:br/>
        <w:t xml:space="preserve">Françoise Aubert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