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https://www.autoritedelaconcurrence.fr/fr/decision-de-controle-des-concentrations/relative-la-prise-de-controle-conjoint-de-la-societe-37</w:t>
      </w:r>
    </w:p>
    <w:p>
      <w:r>
        <w:t>Pages translated : 2</w:t>
      </w:r>
    </w:p>
    <w:p/>
    <w:p>
      <w:r>
        <w:rPr>
          <w:b/>
        </w:rPr>
        <w:t>[Pages 1–2]</w:t>
      </w:r>
    </w:p>
    <w:p>
      <w:r>
        <w:t xml:space="preserve">FRENCH REPUBLIC  </w:t>
        <w:br/>
        <w:t xml:space="preserve">Decision No. 12-DCC-69 of May 22, 2012  </w:t>
        <w:br/>
        <w:t xml:space="preserve">regarding the joint control acquisition of the company Euromedic  </w:t>
        <w:br/>
        <w:t xml:space="preserve">Intermediate Group BV by the companies Ares Life Sciences LP and  </w:t>
        <w:br/>
        <w:t xml:space="preserve">Montagu III Fund  </w:t>
        <w:br/>
        <w:t xml:space="preserve">The Competition Authority,  </w:t>
        <w:br/>
        <w:t xml:space="preserve">Having regard to the complete merger file submitted to the mergers department on April 24, 2012,  </w:t>
        <w:br/>
        <w:t xml:space="preserve">concerning the joint control acquisition of the company Euromedic Intermediate Group BV by the  </w:t>
        <w:br/>
        <w:t xml:space="preserve">companies Ares Life Sciences LP and Montagu III Fund;  </w:t>
        <w:br/>
        <w:t xml:space="preserve">Having regard to Book IV of the Commercial Code relating to the freedom of prices and competition, and  </w:t>
        <w:br/>
        <w:t xml:space="preserve">notably its Articles L.430-1 to L.430-7;  </w:t>
        <w:br/>
        <w:t xml:space="preserve">Adopts the following decision:  </w:t>
        <w:br/>
        <w:t xml:space="preserve">1. Ares Life Sciences and Montagu III Fund are two investment companies. The notified operation consists of the joint control acquisition of the company Euromedic Intermediate Group BV, active in the provision of outsourced public/private health services, by the companies Ares Life Sciences LP and Montagu III Fund. It constitutes a concentration within the meaning of Article L.430-1 of the Commercial Code. Given the turnover achieved by the companies concerned, the operation does not have a community dimension. On the other hand,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12-060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