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https://www.autoritedelaconcurrence.fr/fr/decision-de-controle-des-concentrations/relative-la-prise-de-controle-conjoint-de-la-societe-38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12-DCC-76 of June 7, 2012  </w:t>
        <w:br/>
        <w:t xml:space="preserve">regarding the joint control acquisition of the company Marodine  </w:t>
        <w:br/>
        <w:t xml:space="preserve">by Mr. Chambon and the company ITM Entreprises  </w:t>
        <w:br/>
        <w:t xml:space="preserve">The Competition Authority,  </w:t>
        <w:br/>
        <w:t xml:space="preserve">Having regard to the complete notification file sent to the mergers department on May 15, 2012,  </w:t>
        <w:br/>
        <w:t xml:space="preserve">concerning the exclusive control acquisition of the company Anibal by the company ITM Alimentaire Sud Est, materialized by a transfer protocol dated April 6, 2012;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joint control acquisition of the company Marodine, operating a predominantly food distribution business, under the brand Intermarché, with a surface area of 1,500 m² and located in the city of Bourg lès Valence (26), by the company ITM Entreprises and by Mr. Chambon, who also operates an Intermarché hypermarket, with a surface area of 3,049 m² and located in the city of Valence. It constitutes a concentration operation within the meaning of Article L. 430-1 of the Commercial Code. Given the turnover achieved by the companies concerned, the operation does not have a community dimension. However, the retail control thresholds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12-083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