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https://www.autoritedelaconcurrence.fr/fr/decision-de-controle-des-concentrations/relative-la-prise-de-controle-conjoint-de-la-societe-4</w:t>
      </w:r>
    </w:p>
    <w:p>
      <w:r>
        <w:t>Pages translated : 5</w:t>
      </w:r>
    </w:p>
    <w:p/>
    <w:p>
      <w:r>
        <w:rPr>
          <w:b/>
        </w:rPr>
        <w:t>[Pages 1–3]</w:t>
      </w:r>
    </w:p>
    <w:p>
      <w:r>
        <w:t xml:space="preserve">FRENCH REPUBLIC  </w:t>
        <w:br/>
        <w:t xml:space="preserve">Decision No. 10-DCC-183 of December 13, 2010  </w:t>
        <w:br/>
        <w:t xml:space="preserve">regarding the joint control of the company Soleyade by the  </w:t>
        <w:br/>
        <w:t xml:space="preserve">company Ausoe and ITM Entreprises  </w:t>
        <w:br/>
        <w:t xml:space="preserve">The Competition Authority,  </w:t>
        <w:br/>
        <w:t xml:space="preserve">Having regard to the notification file submitted in full to the merger service on  </w:t>
        <w:br/>
        <w:t xml:space="preserve">November 18, 2010, concerning the joint control of the company Soleyade by the company  </w:t>
        <w:br/>
        <w:t xml:space="preserve">Ausoe and ITM Entreprises, formalized by a memorandum of understanding dated October 4, 2010;  </w:t>
        <w:br/>
        <w:t xml:space="preserve">Having regard to Book IV of the Commercial Code relating to the freedom of prices and competition, and  </w:t>
        <w:br/>
        <w:t xml:space="preserve">notably its Articles L. 430-1 to L. 430-7;  </w:t>
        <w:br/>
        <w:t xml:space="preserve">Adopts the following decision:  </w:t>
        <w:br/>
        <w:t xml:space="preserve">I. The concerned companies and the operation  </w:t>
        <w:br/>
        <w:t xml:space="preserve">1. ITM Entreprises, a company wholly owned by the Société civile des Mousquetaires, itself held by 1,330 natural persons known as "associated members," leads and animates the network of independent merchants known as the "Groupement des Mousquetaires." As a franchisor, ITM Entreprises has as its main activity the animation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  </w:t>
        <w:br/>
        <w:t xml:space="preserve">2. Aunix is a holding company that holds the majority of the shares of the company Soleyade, which operates a retail business predominantly in food under the brand Intermarché in Pernes les Fontaines (84). The shares of the company Aunix are predominantly held by Mr. and Mrs. X. The company Aunix is linked to the company ITM Entreprises by a brand contract concluded on October 8, 2003, for a duration of 10 years. Furthermore, Mr. and Mrs. X are signatories of the membership charter to the "Groupement des Mousquetaires." The company ITM Entreprises holds one share in the capital of Aunix, which does not confer any special rights. Aunix holds [&gt;50]% of the capital of Soleyade, with Mr. and Mrs. X holding two shares and ITM Entreprises holding one share, which does not confer any special rights.  </w:t>
        <w:br/>
        <w:t xml:space="preserve">3. The company Ausoe, in the process of being formed, is a company that will have as its purpose the holding of shares in all companies operating in the distribution sector. It will be held at [&gt;50]% by Mrs. X, with ITM Entreprises holding one share that does not confer any special rights.  </w:t>
        <w:br/>
        <w:t xml:space="preserve">4. The notified operation, formalized by a memorandum of understanding dated October 4, 2010, consists of the acquisition by Mrs. X of [&gt;50]% of the shares of Aunix. Mrs. X also acquires the two shares held by Mr. and Mrs. X in the company Soleyade. These shares will eventually be held by Ausoe to which Mrs. X will have contributed the shares she already holds, namely [&lt;5]% of the capital of Aunix. Following the operation, Ausoe will thus hold [&gt;50]% of the shares of Aunix, with ITM Entreprises retaining one share in the capital of Aunix. Furthermore, the company Soleyade commits to adopting the standard statutes used by the Groupement des Mousquetaires, which confer to ITM Entreprises a preferential share in this company. For a period of 15 years, the owner of the preferential share has the ability to block any change of brand. Moreover, they can oppose any transfer of shares and compel the majority shareholders to sell the business as soon as they operate a similar business under a competing brand. As the Authority has already considered on numerous occasions1, these provisions will give ITM Entreprises control over the company Soleyade, jointly with that exercised by the company Ausoe.  </w:t>
        <w:br/>
        <w:t xml:space="preserve">5. Insofar as it leads to the joint control of the company Soleyade by the ITM Entreprises group and the company Ausoe, the notified operation is indeed a concentration within the meaning of Article L. 430-1 of the Commercial Code. The concerned companies together achieve a total worldwide turnover of more than 75 million euros (ITM Entreprises group: […] billion euros for the fiscal year ending December 31, 2009; Aunix: […] million euros for the same fiscal year). Two of them achieve in France in the retail sector a turnover exceeding 15 million euros (ITM Entreprises group: […] billion euros; Aunix: […] million euros). Given the turnover of the concerned companies, it does not have a community dimension. On the other hand, the control thresholds related to retail mentioned in point II of Article L. 430-2 of the Commercial Code are exceeded. The present operation is therefore subject to the provisions of Articles L. 430-3 and following of the Commercial Code relating to economic concentration.  </w:t>
        <w:br/>
        <w:t xml:space="preserve">1 See for example decisions 10-DCC-09 and 10-DCC-19.  </w:t>
        <w:br/>
        <w:t>2</w:t>
      </w:r>
    </w:p>
    <w:p>
      <w:r>
        <w:t xml:space="preserve">II. Delimitation of Relevant Markets  </w:t>
        <w:br/>
        <w:t xml:space="preserve">6. According to the consistent practice of national and community competition authorities2, two categories of markets can be delineated3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7. Regarding the retail sale of everyday consumer goods, competition authorities, both community and national4,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maxi discounters, (vi) mail order.  </w:t>
        <w:br/>
        <w:t xml:space="preserve">8. Supermarkets are usually defined as stores predominantly selling food with a sales area of less than 2,500 m² and more than 400 m². However, it should be noted that these thresholds must be used with caution and may be adapted to the specific case, given that stores whose area is close to a threshold, either below or above, may find themselves in direct competition with the facts.  </w:t>
        <w:br/>
        <w:t xml:space="preserve">9. In this case, the store operated by the company Soleyade occupies an area of 2,285 m² and thus falls into the category of supermarkets.  </w:t>
        <w:br/>
        <w:t xml:space="preserve">2. GEOGRAPHICAL DELIMITATION  </w:t>
        <w:br/>
        <w:t xml:space="preserve">10. In its recent decisions5 regarding operations involving hypermarkets or supermarkets, the Competition Authority has recalled that two types of markets are usually distinguished, based on catchment areas:  </w:t>
        <w:br/>
        <w:t xml:space="preserve">2 See notably the decisions of the Commission M.496 Intermarché/Spar of June 30, 1997, M.991 Promodès/Casino of October 30, 1997, and M.1684 Carrefour/Promodès of January 25, 2000. See also the ministerial order of July 5, 2000, in the Carrefour/Promodès operation and the opinions of the Competition Authority No. 97-A-14 of July 1, 1997, in the Carrefour/Cora case No. 98-A-06 of May 5, 1998, in the Casino Franprix/Leader Price case, and No. 00-A-06 of May 3, 2000, in the Carrefour/Promodès case.  </w:t>
        <w:br/>
        <w:t xml:space="preserve">3 Commission decisions in the cases M.1221 Rewe/Meinl of February 3, 1999, M.1684 Carrefour/Promodès of January 25, 2000, and M.2115 Carrefour/GB of September 28, 2000. See also decision C.2005-98 Carrefour/Penny Market of November 10, 2005.  </w:t>
        <w:br/>
        <w:t xml:space="preserve">4 Decisions C.2008-32 Amidis SAGC of July 9, 2008, C.2007-172 Carrefour Plane Plamidis of February 13, 2008, C.2007-154 Système UVergali of December 3, 2007, C 2007-05 Carrefour Sofodis of March 26, 2007, C.2006-15 Amidis Hamon of April 14, 2006, C.2005-98 Carrefour Penny Market of November 10, 2005.  </w:t>
        <w:br/>
        <w:t xml:space="preserve">5 See notably decisions 09-DCC-24 of July 23, 2009 Floritine/CSF; 09-DCC-10 of May 28, 2009 Frandis/Financière Perdis; 09-DCC-06 of May 20, 2009 Evolis/ITM; 09-DCC-04 of April 29, 2009 Carrefour/Noukat.  </w:t>
        <w:br/>
        <w:t>3</w:t>
      </w:r>
    </w:p>
    <w:p>
      <w:r>
        <w:rPr>
          <w:b/>
        </w:rPr>
        <w:t>[Pages 4–5]</w:t>
      </w:r>
    </w:p>
    <w:p>
      <w:r>
        <w:t>- a first market where the demand of consumers in an area meets the supply of hypermarkets accessible to them within less than 30 minutes by car and which are, from their perspective, substitutable with each other;</w:t>
        <w:br/>
        <w:t>-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w:t>
      </w:r>
    </w:p>
    <w:p>
      <w:r>
        <w:t>11. Other criteria may nevertheless be taken into account to assess the impact of a concentration on the competitive situation in retail distribution markets, which may lead to refining, in the specific case, the usual delimitations presented above.</w:t>
      </w:r>
    </w:p>
    <w:p>
      <w:r>
        <w:t>12. In the specific case, the analysis will therefore focus on the market comprising supermarkets and other equivalent forms of commerce within a 15-minute driving radius around Pernes les Fontaines.</w:t>
      </w:r>
    </w:p>
    <w:p>
      <w:r>
        <w:t>B. UPSTREAM SUPPLY MARKETS</w:t>
      </w:r>
    </w:p>
    <w:p>
      <w:r>
        <w:t>13. Regarding the supply markets, the European Commission6 has recognized the existence of markets of national dimension by major product groups, a delimitation followed by national authorities7.</w:t>
      </w:r>
    </w:p>
    <w:p>
      <w:r>
        <w:t>14. There is no need to challenge this delimitation in the context of the present operation.</w:t>
      </w:r>
    </w:p>
    <w:p>
      <w:r>
        <w:t>III. Competitive Analysis</w:t>
      </w:r>
    </w:p>
    <w:p>
      <w:r>
        <w:t>A. DOWNSTREAM DISTRIBUTION MARKET</w:t>
      </w:r>
    </w:p>
    <w:p>
      <w:r>
        <w:t>15. In the market comprising supermarkets and other equivalent forms of commerce located within a 15-minute driving radius around Pernes les Fontaines, the Intermarché operated by the company Soleyade represents 13.4% of the market shares expressed in sales area. An Intermarché located in Carpentras, which holds 10% of the market shares, is also present in the Pernes les Fontaines area. Supermarkets operated under the ITM Entreprises banner thus represent, in the catchment area of 15 minutes around Pernes les Fontaines, a cumulative market share of 23.4%.</w:t>
      </w:r>
    </w:p>
    <w:p>
      <w:r>
        <w:t>16. These stores face competition from a hypermarket under the E.Leclerc group banner (40% of the sales area in the zone), several supermarkets (Système U, Carrefour group), and several discount stores (LIDL and Casino group).</w:t>
      </w:r>
    </w:p>
    <w:p>
      <w:r>
        <w:t>6 See the decisions of the Commission M.1684 Carrefour/Promodès dated January 25, 2000, and M.2115 Carrefour/GB dated September 28, 2000.</w:t>
      </w:r>
    </w:p>
    <w:p>
      <w:r>
        <w:t>7 See in particular the decisions of the minister in the sector, C.2005-98 Carrefour/Penny Market dated November 10, 2005, C02006-15 Carrefour/Groupe Hamon dated April 14, 2006, C.2007-172 regarding the creation of the joint venture Plamidis dated February 13, 2008, and C2008-32 Carrefour/SAGC dated July 9, 2008.</w:t>
      </w:r>
    </w:p>
    <w:p>
      <w:r>
        <w:t>17. Consequently, the operation is not likely to harm competition in the markets concerned.</w:t>
      </w:r>
    </w:p>
    <w:p>
      <w:r>
        <w:t>B. UPSTREAM SUPPLY MARKET</w:t>
      </w:r>
    </w:p>
    <w:p>
      <w:r>
        <w:t>18. Regarding the upstream supply markets, the operation concerning the change of control of two stores is not likely to significantly strengthen the purchasing power of the ITM Entreprises group, across all products as well as by major product groups.</w:t>
      </w:r>
    </w:p>
    <w:p>
      <w:r>
        <w:t>19. Consequently, the operation is not likely to harm competition both in the downstream market and in the upstream market of distribution.</w:t>
      </w:r>
    </w:p>
    <w:p>
      <w:r>
        <w:t>DECIDES</w:t>
      </w:r>
    </w:p>
    <w:p>
      <w:r>
        <w:t>Sole Article: The operation notified under number 10-0213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