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https://www.autoritedelaconcurrence.fr/fr/decision-de-controle-des-concentrations/relative-la-prise-de-controle-conjoint-de-la-societe-40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13-DCC-01 of January 7, 2013  </w:t>
        <w:br/>
        <w:t xml:space="preserve">regarding the joint control acquisition of Socotec SAS by  </w:t>
        <w:br/>
        <w:t xml:space="preserve">Copeba SA and Five Arrows Managers SAS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5, 2012, concerning the joint control acquisition of Socotec SAS by  </w:t>
        <w:br/>
        <w:t xml:space="preserve">Copeba SA and Five Arrows Managers SAS, materialized by two firm and binding offers dated November 15 and 16,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Socotec SAS, active  </w:t>
        <w:br/>
        <w:t xml:space="preserve">in the technical control, certification, project management assistance, and  </w:t>
        <w:br/>
        <w:t xml:space="preserve">professional training sectors, by Copeba SA and Five Arrows Managers  </w:t>
        <w:br/>
        <w:t xml:space="preserve">SAS, respectively a private investment company and a portfolio management company. It  </w:t>
        <w:br/>
        <w:t xml:space="preserve">constitutes a concentration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However, the control thresholds related to concentration operations mentioned in point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12-204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