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https://www.autoritedelaconcurrence.fr/fr/decision-de-controle-des-concentrations/relative-la-prise-de-controle-conjoint-de-la-societe-42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13-DCC-119 of August 28, 2013  </w:t>
        <w:br/>
        <w:t xml:space="preserve">regarding the joint control acquisition of the company Magnameaux by  </w:t>
        <w:br/>
        <w:t xml:space="preserve">the companies Corpo and ITM Entreprises  </w:t>
        <w:br/>
        <w:t xml:space="preserve">The Competition Authority,  </w:t>
        <w:br/>
        <w:t xml:space="preserve">Having regard to the complete notification file submitted to the mergers department on August 2, 2013,  </w:t>
        <w:br/>
        <w:t xml:space="preserve">concerning the joint control acquisition of the company Magnameaux by the companies Corpo and ITM  </w:t>
        <w:br/>
        <w:t xml:space="preserve">Entreprises, formalized by a draft share transfer agreement dated July 31, 2013;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Magnameaux,  </w:t>
        <w:br/>
        <w:t xml:space="preserve">operating a retail sales outlet predominantly selling food in the city of Magny-les-Hameaux (78), by the companies ITM Entreprises and Corpo, the latter already operating, through its subsidiaries, retail outlets under the Intermarché brand in the cities of Etréchy and Gif-sur-Yvette (91). This operation constitutes a concentration operation within the meaning of Article L. 430-1 of the Commercial Code. Given the turnover achieved by the companies concerned, the operation does not have a community dimension. On the other hand,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13-134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