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https://www.autoritedelaconcurrence.fr/fr/decision-de-controle-des-concentrations/relative-la-prise-de-controle-conjoint-de-la-societe-46</w:t>
      </w:r>
    </w:p>
    <w:p>
      <w:r>
        <w:t>Pages translated : 7</w:t>
      </w:r>
    </w:p>
    <w:p/>
    <w:p>
      <w:r>
        <w:rPr>
          <w:b/>
        </w:rPr>
        <w:t>[Pages 1–3]</w:t>
      </w:r>
    </w:p>
    <w:p>
      <w:r>
        <w:t xml:space="preserve">FRENCH REPUBLIC  </w:t>
        <w:br/>
        <w:t xml:space="preserve">Decision No. 13-DCC-164 of November 21, 2013  </w:t>
        <w:br/>
        <w:t xml:space="preserve">regarding the joint control of the company Almaviva Santé  </w:t>
        <w:br/>
        <w:t>by the company UI Gestion and the company Gimv</w:t>
      </w:r>
    </w:p>
    <w:p>
      <w:r>
        <w:t xml:space="preserve">The Competition Authority,  </w:t>
        <w:br/>
        <w:t xml:space="preserve">Having regard to the notification file submitted in full to the merger service on October 16, 2013, regarding the joint control of the company Almaviva Santé by the company UI Gestion and the company Gimv, formalized by a share transfer contract and a shareholders' agreement signed on October 14, 2013;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Adopts the following decision:</w:t>
      </w:r>
    </w:p>
    <w:p>
      <w:r>
        <w:t xml:space="preserve">I. The concerned companies and the operation  </w:t>
        <w:br/>
        <w:t xml:space="preserve">A. THE CONCERNED COMPANIES  </w:t>
        <w:br/>
        <w:t xml:space="preserve">1. The company UI Gestion, subject to the fluctuating control of its shareholders, is the parent company of the UI Gestion group. This group is active in the private equity sector and includes […] investment funds, among which are the FCPR Cap Santé and FCPR MI 5 funds. The UI Gestion group controls companies present in various sectors of activity (notably construction, consulting, manufacturing and sale of sports equipment, kitchen utensils), including the company HEDS, which is active in the trade of single-use medical devices.  </w:t>
        <w:br/>
        <w:t xml:space="preserve">2. The company Gimv is a company listed on the NYSE Euronext Brussels, subject to the fluctuating control of its shareholders, and is the head of the Gimv group. This group is active in the private equity sector and controls companies active notably in the sectors of components for the automotive industry, services to industry, optical equipment for industry, and wall coverings. It notably controls the company Acertys, which distributes medical equipment to hospital establishments in Belgium, the Netherlands, and Luxembourg.  </w:t>
        <w:br/>
        <w:t xml:space="preserve">3. The company Almaviva Santé is the parent company of the Almaviva Santé group, which operates the following seven private clinics located in the Provence-Alpes-Côte d'Azur region: Clinique Chantecler and Clinique Juge, located in Marseille (13), Clinique Générale de Marignane (13), Clinique de Vitrolles (13), Clinique chirurgicale de Martiques (13), Clinique Axium located in Aix en Provence (13), and Clinique de Manosque (04). The company Almaviva Santé is currently controlled by the company 21 Centrale Partners.  </w:t>
        <w:br/>
        <w:t xml:space="preserve">4. The notified operation, formalized by a transfer contract relating to the shares of the company Almaviva Santé and by a shareholders' agreement, signed on October 14, 2013, consists of the transfer of 100% of the capital of the company Almaviva Santé to the company Viva Expansion, created for the needs of the operation. At the end of the operation, UI Gestion and Gimv will hold […]% of the capital and voting rights of the company Alma Expansion, created for the needs of the operation, which will hold [80-90]% of the capital and voting rights of the company Viva Expansion.  </w:t>
        <w:br/>
        <w:t xml:space="preserve">5. A supervisory board will be established within Viva Expansion. This supervisory board will be composed of [confidential]. Furthermore, the shareholders' agreement of October 14, 2013, signed notably by UI Gestion and Gimv, provides that [confidential].  </w:t>
        <w:br/>
        <w:t xml:space="preserve">6. UI Gestion and Gimv will therefore have a veto right over the strategic decisions of Viva Expansion, and thus joint control over it and over Almaviva Santé, at the end of the operation.  </w:t>
        <w:br/>
        <w:t xml:space="preserve">7. In light of these elements, the operation consists of the joint control of the company Almaviva Santé by UI Gestion and Gimv. Consequently, the present operation constitutes a concentration within the meaning of Article L. 430-1 of the Commercial Code.  </w:t>
        <w:br/>
        <w:t xml:space="preserve">8. The concerned companies together achieve a total turnover excluding taxes on a global scale of more than 150 million euros (UI Gestion group: […] euros for the fiscal year ending December 31, 2012; Gimv group: […] euros for the same fiscal year1 and Almaviva Santé group: […] euros for the same fiscal year). At least two of these companies have achieved in France a turnover exceeding 50 million euros (UI Gestion group: […] euros for the fiscal year ending December 31, 2012, Gimv group: […] euros for the same fiscal year1, and Almaviva Santé group: […] euros for the same fiscal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1 The turnover of the Gimv group has been calculated taking into account the turnover achieved by each of the companies in the Gimv group, except for Gimv itself, during the fiscal year ending December 31, 2012. For Gimv, the turnover achieved during the fiscal year ending March 31, 2013 has been taken into account.</w:t>
      </w:r>
    </w:p>
    <w:p>
      <w:r>
        <w:t xml:space="preserve">II. Delimitation of Relevant Markets  </w:t>
        <w:br/>
        <w:t xml:space="preserve">9. The parties to the operation are simultaneously present in the healthcare sector. More precisely, Almaviva Santé is present in the sector of providing diagnostics and hospital care, while UI Gestion and Gimv are present in the sector of supplying medical equipment.  </w:t>
        <w:br/>
        <w:t xml:space="preserve">A. MARKETS FOR THE PROVISION OF DIAGNOSTICS AND HOSPITAL CARE  </w:t>
        <w:br/>
        <w:t xml:space="preserve">1. SERVICE MARKETS  </w:t>
        <w:br/>
        <w:t xml:space="preserve">10. Regarding the markets for the provision of diagnostics and hospital care, decision-making practice2 considers that it is not relevant to distinguish the provision of diagnostics and care based on whether they are provided by private or public establishments. Indeed, in France, the patient is free to choose their establishment, public or private, without economic consideration since the reimbursement of care does not depend on the status of the establishment in which the care was provided. Furthermore, the generalization of activity-based pricing and patients' use of complementary insurance tend to increase patients' freedom of choice regarding the establishment in which they wish to be treated. Moreover, whether public or private, hospital establishments are intended to accommodate all patients, without economic or social consideration. Finally, all hospital establishments in France are subject to a common regulatory and normative framework that defines the conditions for exercising their activity, regulated at the regional level by the Regional Health Agencies ("ARS") with which they enter into contracts for objectives and means.  </w:t>
        <w:br/>
        <w:t xml:space="preserve">11. Decision-making practice distinguishes the markets for the provision of diagnostics and hospital care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 Practice has thus considered a broad segmentation, by "groups of specialized activities"3 corresponding to the major disciplines defined by the Public Health Code (medicine, surgery, obstetrics, neonatal care, psychiatry, follow-up or functional rehabilitation care, long-term care and resuscitation, oncology-radiotherapy, and diagnostic activities).  </w:t>
        <w:br/>
        <w:t xml:space="preserve">2 Decision of the European Commission of May 21, 2010, COMP./M.5805, 3i/Vedici Group; decisions of the Competition Authority No. 09-DCC-68 of November 25, 2009, regarding the exclusive control of the group Cliniques privées associées by Crédit Agricole private equity and No. 11-DCC-57 of April 4, 2011, regarding the control of the Médipôle Sud Santé group by the Bridgepoint group; letter No. C2006-105 from the Minister of Economy, Finance and Industry dated October 26, 2006, to the advisors of Capio santé SA, regarding a concentration in the sector of production of diagnostics and care in health establishments; and letter No. C2005-125 from the Minister of Economy, Finance and Industry dated January 6, 2006, to the advisors of Générale de santé regarding a concentration in the sector of health establishments.  </w:t>
        <w:br/>
        <w:t>3 See notably letters No. C2005-125 and No. C2006-105 from the Minister of Economy and Finance in which the Minister of Economy and Finance considered a segmentation by "group of specialized activity" within each of the major disciplines defined by the Public Health Code: (i) medicine, (ii) surgery, (iii) obstetrics, (iv) neonatal care, (v) psychiatry, (vi) follow-up or functional rehabilitation care, (vii) long-term care and resuscitation, (viii) oncology-radiotherapy, and (ix) diagnostic activities.</w:t>
      </w:r>
    </w:p>
    <w:p>
      <w:r>
        <w:rPr>
          <w:b/>
        </w:rPr>
        <w:t>[Pages 4–6]</w:t>
      </w:r>
    </w:p>
    <w:p>
      <w:r>
        <w:t>12. Practice4 has also considered a narrower segmentation of diagnostic and hospital care markets, by "major diagnostic category" ("MDC") according to the classification of acts established by the Regional Health Agencies (ARS). The minister considered, while leaving the question open, that this segmentation was likely to constitute a relevant level of segmentation since it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w:t>
      </w:r>
    </w:p>
    <w:p>
      <w:r>
        <w:t>13. In accordance with decision-making practice, the broad segmentation by "groups of specialized activities within major disciplines (medicine, surgery, obstetrics, post-acute care and rehabilitation) as well as the narrower segmentation by "major diagnostic category" can be used to analyze the effects of the present operation.</w:t>
      </w:r>
    </w:p>
    <w:p>
      <w:r>
        <w:t>14. In any case, the question of the exact definition of these markets can be left open insofar as the conclusions of the analysis will remain unchanged regardless of the delimitation retained.</w:t>
      </w:r>
    </w:p>
    <w:p>
      <w:r>
        <w:t>2. GEOGRAPHICAL MARKETS</w:t>
      </w:r>
    </w:p>
    <w:p>
      <w:r>
        <w:t>15. The European Commission5, without definitively resolving the issue, suggests that the markets for the provision of diagnostics and hospital care have a local dimension extending to a 30-minute driving radius.</w:t>
      </w:r>
    </w:p>
    <w:p>
      <w:r>
        <w:t>16. The French competition authorities6, taking into account the regulatory instruments used by the ARS, consider that the markets for the provision of diagnostics and hospital care have a local, departmental, or regional dimension, the perimeter of which depends on the specialty concerned by the studied healthcare provision market7. They notably found that the size of the patient catchment areas varies significantly, not only depending on the establishment and the medical-surgical specialties practiced there, but also depending on the region considered, its population density, and its level of equipment in hospital care establishments.</w:t>
      </w:r>
    </w:p>
    <w:p>
      <w:r>
        <w:t>17. The parties consider that the relevant markets have a rather regional dimension.</w:t>
      </w:r>
    </w:p>
    <w:p>
      <w:r>
        <w:t>18. In this case, the question of the geographical delimitation of the markets for the provision of diagnostics and hospital care can be left open insofar as the conclusions of the analysis will remain unchanged regardless of the delimitation retained.</w:t>
      </w:r>
    </w:p>
    <w:p>
      <w:r>
        <w:t>19. In this case, the Almaviva Santé group is present in the market for the provision of diagnostics and hospital care in the Provence-Alpes-Côte d'Azur region, and more specifically in the departments of Bouches-du-Rhône and Alpes-de-Haute-Provence.</w:t>
      </w:r>
    </w:p>
    <w:p>
      <w:r>
        <w:t>B. MARKETS FOR THE SUPPLY OF MEDICAL EQUIPMENT</w:t>
      </w:r>
    </w:p>
    <w:p>
      <w:r>
        <w:t>1. PRODUCT MARKETS</w:t>
      </w:r>
    </w:p>
    <w:p>
      <w:r>
        <w:t>20. The company HEDS, which is part of the UI Gestion group, markets medical devices (notably examination gloves, catheters, micro-infusers, transfusers, infusion extensions, taps, plugs, valves, connectors, ramps, air inlets, masks, syringes, hypodermic needles, urine bags, electric thermometers, pre-soaked wipes for hygiene, tourniquets, speculums, tongue depressors, spit cups, protective clothing).</w:t>
      </w:r>
    </w:p>
    <w:p>
      <w:r>
        <w:t>21. The company Acertys, which is part of the Gimv group, markets medical equipment (notably monitoring devices, anesthesia stations, insufflation devices, neurological diagnostic devices, respiratory diagnostic devices, cardiological diagnostic devices, endoscopic capsules for gastroenterology, maternity and pediatric care devices, surgical instruments, ultrasound devices, endoscopes, electrocoagulation devices, operating room furniture and non-operating room furniture, medical bedding).</w:t>
      </w:r>
    </w:p>
    <w:p>
      <w:r>
        <w:t>22. Decision-making practice8 has recognized the existence of distinct medical equipment markets between medical equipment intended for hospitals and medical equipment intended for home healthcare service providers.</w:t>
      </w:r>
    </w:p>
    <w:p>
      <w:r>
        <w:t>23. Decision-making practice9 has also considered that medical equipment markets could be segmented based on the therapies concerned.</w:t>
      </w:r>
    </w:p>
    <w:p>
      <w:r>
        <w:t>24. Finally, regarding medical equipment, and in particular medical devices, decision-making practice10 has recognized the existence of as many distinct markets as there are types of products, notably due to the lack of substitutability of these products from a demand perspective.</w:t>
      </w:r>
    </w:p>
    <w:p>
      <w:r>
        <w:t>25. The notifying parties consider that it is not excluded that there exists a distinct market for each of the products marketed by HEDS and Acertys.</w:t>
      </w:r>
    </w:p>
    <w:p>
      <w:r>
        <w:t>26. In any case, the question of the exact definition of the markets for the supply of medical equipment can be left open insofar as, regardless of the delimitation retained, the conclusions of the competitive analysis will remain unchanged.</w:t>
      </w:r>
    </w:p>
    <w:p>
      <w:r>
        <w:t>2. GEOGRAPHICAL MARKETS</w:t>
      </w:r>
    </w:p>
    <w:p>
      <w:r>
        <w:t>27. Decision-making practice considers that the geographical dimension of the markets for the supply of medical equipment depends on the type of products. It has notably considered that the markets for surgical products are European11, the markets for wound care products are national with a trend towards Europeanization12; the dimension of the markets for single-use medical devices and ENT medical devices has been considered as potentially either national or European13, and the question of the dimension of the markets for medical equipment supplied to home healthcare service providers has also been left open14.</w:t>
      </w:r>
    </w:p>
    <w:p>
      <w:r>
        <w:t>28. The parties consider that the markets for medical devices and medical equipment are essentially national.</w:t>
      </w:r>
    </w:p>
    <w:p>
      <w:r>
        <w:t>29. In any case, the question of the exact delimitation of the markets for the supply of medical equipment can be left open insofar as, regardless of the delimitation retained, the conclusions of the competitive analysis will remain unchanged.</w:t>
      </w:r>
    </w:p>
    <w:p>
      <w:r>
        <w:t>III. Competitive Analysis</w:t>
      </w:r>
    </w:p>
    <w:p>
      <w:r>
        <w:t>30. The notified operation will not result in any horizontal overlap of activities. However, UI Gestion and Gimv are present as suppliers in the markets for the supply of medical equipment, located upstream of the markets for the provision of diagnostics and hospital care in which the Almaviva Santé group is present. It is therefore necessary to examine whether the operation is likely to harm competition through vertical effects.</w:t>
      </w:r>
    </w:p>
    <w:p>
      <w:r>
        <w:t>31.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of competition authorities generally dismisses lock-in risks when the market share of the company resulting from the operation in the relevant markets does not exceed 30%.</w:t>
      </w:r>
    </w:p>
    <w:p>
      <w:r>
        <w:t>32. In the markets for the supply of medical equipment, the UI Gestion group, through its subsidiary HEDS, holds a market share of less than 30% in the market for the supply of examination gloves and less than 20% in the French markets for the supply of other medical devices. UI Gestion's market share is less than 1% on the markets for the supply of medical equipment.</w:t>
      </w:r>
    </w:p>
    <w:p>
      <w:r>
        <w:rPr>
          <w:b/>
        </w:rPr>
        <w:t>[Pages 7–7]</w:t>
      </w:r>
    </w:p>
    <w:p>
      <w:r>
        <w:t>such markets at the European level. In the medical equipment supply markets in which it is present, UI Gestion faces competition from numerous competitors, including Euromedis, Medline, and Thermofina for protective devices such as gloves, as well as B-Braun and Doran for infusion devices.</w:t>
      </w:r>
    </w:p>
    <w:p>
      <w:r>
        <w:t>33. Furthermore, Gimv is present through its subsidiary Acertys in the markets for the supply of certain medical equipment, but it is not present in France in these markets and holds a market share of less than 1.5% at the European level. In the medical equipment supply markets in which it is present, Gimv faces competition from numerous competitors, including Draeger, Philips, and Mindray for monitoring devices, or Olympus and Mirocam for endoscopic capsules.</w:t>
      </w:r>
    </w:p>
    <w:p>
      <w:r>
        <w:t>34. In the markets for the provision of diagnostics and hospital care, the Almaviva Santé group holds market shares of less than 30% in all specialized activity groups within the major medical disciplines, at the level of the Provence-Alpes-Côte d'Azur region, as well as in the departments of Bouches-du-Rhône and Alpes-de-Haute-Provence, with the exception of a market share of [40-50]% in the ophthalmology diagnostics and care segment in the department of Alpes-de-Haute-Provence. In any case, the seven hospital establishments operated by the Almaviva Santé group constitute only a tiny part of the potential outlets for competing medical equipment suppliers of HEDS or Acertys at the French and European levels. Consequently, following the operation, the parties will not have the capacity and will not be incentivized to implement a strategy to lock access to the clientele of hospital establishments, to the detriment of competing medical equipment suppliers of UI Gestion and Gimv.</w:t>
      </w:r>
    </w:p>
    <w:p>
      <w:r>
        <w:t>35. In light of these elements, the parties will not have the capacity and will not be incentivized to implement a locking strategy through the inputs constituted by the various medical equipment products marketed by HEDS and Acertys, to the detriment of the competing hospital establishments of Almaviva Santé. They will also not have the capacity to harm competition in the medical equipment supply markets by depriving the competitors of HEDS and Acertys of the outlet constituted by the establishments of Almaviva Santé. Therefore, the operation is not likely to harm competition through vertical effects.</w:t>
      </w:r>
    </w:p>
    <w:p>
      <w:r>
        <w:t>DECIDES</w:t>
      </w:r>
    </w:p>
    <w:p>
      <w:r>
        <w:t>Sole Article: The notified operation under number 13-170 is authorized.</w:t>
      </w:r>
    </w:p>
    <w:p>
      <w: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