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https://www.autoritedelaconcurrence.fr/fr/decision-de-controle-des-concentrations/relative-la-prise-de-controle-conjoint-de-la-societe-47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13-DCC-188 of December 11, 2013  </w:t>
        <w:br/>
        <w:t xml:space="preserve">regarding the joint control acquisition of the company Moigere by  </w:t>
        <w:br/>
        <w:t xml:space="preserve">ITM Entreprises and the Chataigneau group  </w:t>
        <w:br/>
        <w:t xml:space="preserve">The Competition Authority,  </w:t>
        <w:br/>
        <w:t xml:space="preserve">Having regard to the complete notification file sent to the mergers department on  </w:t>
        <w:br/>
        <w:t xml:space="preserve">November 20, 2013, concerning the joint control acquisition of the company Moigere, by the  </w:t>
        <w:br/>
        <w:t xml:space="preserve">Chataigneau group alongside ITM Entreprises, materialized by a share transfer agreement  </w:t>
        <w:br/>
        <w:t xml:space="preserve">dated October 30, 2013;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of the company Moigere operating  </w:t>
        <w:br/>
        <w:t xml:space="preserve">a retail outlet primarily selling food under the Intermarché brand, in the city of Moissac (82), by the  </w:t>
        <w:br/>
        <w:t xml:space="preserve">Chataigneau group alongside the company ITM Entreprises. This operation constitutes a concentration operation within the meaning of  </w:t>
        <w:br/>
        <w:t xml:space="preserve">Article L. 430-1 of the Commercial Code. Given the turnover achieved by the  </w:t>
        <w:br/>
        <w:t xml:space="preserve">concerned companies, the operation does not have a community dimension. On the other hand,  </w:t>
        <w:br/>
        <w:t xml:space="preserve">the control thresholds related to retail mentioned in point II of Article  </w:t>
        <w:br/>
        <w:t xml:space="preserve">L. 430-2 of the Commercial Code are exceeded. This operation is therefore subject to the  </w:t>
        <w:br/>
        <w:t xml:space="preserve">provisions of Articles L. 430-3 and following of the Commercial Code relating to economic concentration.  </w:t>
        <w:br/>
        <w:t xml:space="preserve">2. In light of the elements of the file, the operation is not likely to harm  </w:t>
        <w:br/>
        <w:t>competition in the relevant markets.</w:t>
      </w:r>
    </w:p>
    <w:p>
      <w:r>
        <w:t xml:space="preserve">DECIDES  </w:t>
        <w:br/>
        <w:t xml:space="preserve">Sole Article: The operation notified under number 13-219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