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https://www.autoritedelaconcurrence.fr/fr/decision-de-controle-des-concentrations/relative-la-prise-de-controle-conjoint-de-la-societe-5</w:t>
      </w:r>
    </w:p>
    <w:p>
      <w:r>
        <w:t>Pages translated : 5</w:t>
      </w:r>
    </w:p>
    <w:p/>
    <w:p>
      <w:r>
        <w:rPr>
          <w:b/>
        </w:rPr>
        <w:t>[Pages 1–3]</w:t>
      </w:r>
    </w:p>
    <w:p>
      <w:r>
        <w:t xml:space="preserve">FRENCH REPUBLIC  </w:t>
        <w:br/>
        <w:t xml:space="preserve">Decision No. 10-DCC-195 of December 21, 2010  </w:t>
        <w:br/>
        <w:t xml:space="preserve">regarding the joint control of the company Etablissements Bertholon Frères by the Carrefour and Provendis groups  </w:t>
        <w:br/>
        <w:t xml:space="preserve">The Competition Authority,  </w:t>
        <w:br/>
        <w:t xml:space="preserve">Having regard to the notification file submitted in full to the merger service on November 18, 2010, regarding the joint control of the company Etablissements Bertholon Frères by the Carrefour and Provendis groups, formalized by a synallagmatic promise of sale dated October 29, 2010;  </w:t>
        <w:br/>
        <w:t xml:space="preserve">Having regard to the additional information provided by the parties during the investigation;  </w:t>
        <w:br/>
        <w:t xml:space="preserve">Having regard to Book IV of the Commercial Code relating to price freedom and competition, and in particular its Articles L.430-1 to L.430-7;  </w:t>
        <w:br/>
        <w:t xml:space="preserve">Adopts the following decision:  </w:t>
        <w:br/>
        <w:t xml:space="preserve">I. The concerned companies and the operation  </w:t>
        <w:br/>
        <w:t xml:space="preserve">1. The Carrefour group is active in food retail distribution. In France, it operates hypermarkets under the Carrefour and Champion brands and supermarkets under the Champion and Carrefour Market brands. It also operates convenience stores under the Carrefour City, Shopi, 8 à huit, Marché Plus, Sherpa, Proxi brands and discount stores under the Ed and Dia brands.  </w:t>
        <w:br/>
        <w:t xml:space="preserve">2. The company Provendis (hereinafter, "Provendis") is the head of the Provendis group, which is wholly controlled by the Rosnoblet family. The Provendis group is active in the real estate and food distribution sectors, notably through the Société d’Exploitation Provencia (hereinafter, "Provencia"), a subsidiary jointly controlled with the Carrefour group. Provencia holds controlling interests in several companies responsible for operating food retail stores, including the company Douvaine Distribution (hereinafter "Douvaine Distribution").  </w:t>
        <w:br/>
        <w:t xml:space="preserve">3. The company Etablissements Bertholon Frères (hereinafter "Bertholon"), currently exclusively owned by the Carrefour group through its subsidiaries SARL JMB Bat, SAS CSF, and SAS Amidis et Cie, operates a supermarket-type business in Amancy (74), under the Carrefour Market brand and an adjoining service station.  </w:t>
        <w:br/>
        <w:t xml:space="preserve">4. The operation involves the acquisition of 100% of Bertholon’s capital by Douvaine Distribution from SARL JMB Bat, SAS CSF, and SAS Amidis et Cie. Following the operation, Bertholon will therefore be jointly controlled by the Carrefour group and the Provendis group, through their indirect joint subsidiary, Douvaine Distribution. As it results in the joint control of Bertholon by the Carrefour group and the Provendis group, the notified operation constitutes a concentration within the meaning of Article L.430-1 of the Commercial Code.  </w:t>
        <w:br/>
        <w:t xml:space="preserve">5. The companies concerned together achieve a total worldwide turnover of more than 75 million euros (Carrefour group: 85.96 billion euros for the fiscal year ending December 31, 2009; Provendis group: 127.26 million euros for the same year). Each achieves, in France, a turnover exceeding 15 million euros (Carrefour group: 34.26 billion euros for the fiscal year ending December 31, 2009; Provendis group: 125 million euros for the same year). Given these turnover figures, the operation does not have a community dimension. However, the control thresholds mentioned in point II of Article L. 430-2 of the Commercial Code relating to retail trade are exceeded. This operation is therefore subject to the provisions of Articles L. 430-3 and following of the Commercial Code relating to economic concentration.  </w:t>
        <w:br/>
        <w:t xml:space="preserve">II. Definition of relevant markets  </w:t>
        <w:br/>
        <w:t xml:space="preserve">6. According to the consistent practice of national and community competition authorities, two categories of market can be defined in the food retail distribution sector. These are, on the one hand, "downstream" markets, of local dimension, which bring together retail companies and consumers for the sale of consumer goods, and, on the other hand, "upstream" markets for supplying retail companies with everyday consumer goods, of national dimension.  </w:t>
        <w:br/>
        <w:t xml:space="preserve">1 See in particular the decisions of the Commission M.946 Intermarché/Spar of June 30, 1997, M.991 Promodès/Casino of October 30, 1997, and M.1684 Carrefour/Promodès of January 25, 2000. See also the opinions of the Competition Council No. 97-A-14 of July 1, 1997, regarding Carrefour's acquisition of a stake in Grands Magasins B (GMB), No. 98-A-06 of May 5, 1998, regarding Casino-Guichard-Perrachon's acquisition of TLC Béatrice Holdings France SA, and No. 00-A-06 of May 3, 2000, regarding Carrefour's acquisition of Promodès.  </w:t>
        <w:br/>
        <w:t>2 Decisions of the Commission M.1684 Carrefour/Promodès of January 25, 2000, and M.2115 Carrefour/GB of September 28, 2000. See also the letter from the Minister C2005-98 of November 10, 2005, to the advisors of the Carrefour group, regarding a concentration in the food retail sector.</w:t>
      </w:r>
    </w:p>
    <w:p>
      <w:r>
        <w:t xml:space="preserve">A. DOWNSTREAM DISTRIBUTION MARKETS  </w:t>
        <w:br/>
        <w:t xml:space="preserve">1. SERVICE MARKETS  </w:t>
        <w:br/>
        <w:t xml:space="preserve">7. Regarding the retail sale of everyday consumer goods, competition authorities, both at the community and national levels,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  </w:t>
        <w:br/>
        <w:t xml:space="preserve">8. Hypermarkets are usually defined as predominantly food stores with a legal sales area equal to or greater than 2,500 m². Supermarkets, on the other hand, are usually considered to be predominantly food stores with a sales area of less than 2,500 m² and greater than 400 m². These thresholds must nevertheless be used with caution and may be adapted to the specific case when stores have a surface area close to a threshold, either below or above, and may be in direct competition in practice.  </w:t>
        <w:br/>
        <w:t xml:space="preserve">9. In this case, the store concerned by the operation currently occupies a sales area of 2,571 m², thus falling into the category of hypermarkets.  </w:t>
        <w:br/>
        <w:t xml:space="preserve">2. GEOGRAPHICAL DELIMITATION  </w:t>
        <w:br/>
        <w:t xml:space="preserve">10. In its recent decisions regarding operations involving hypermarkets or supermarkets, the Competition Authority has recalled that depending on the size of the stores concerned, the conditions of competition should be assessed in two different areas:  </w:t>
        <w:br/>
        <w:t xml:space="preserve">- a first market where the demand from consumers in one area meets the supply of hypermarkets that they can access within less than 30 minutes by car and which are, from their point of view, substitutable for each other;  </w:t>
        <w:br/>
        <w:t>- a second market where the demand from consumers meets the supply of supermarkets and equivalent forms of commerce located within less than 15 minutes of travel time by car. These latter forms of commerce may include, in addition to supermarkets, hypermarkets located close to consumers and discount stores.</w:t>
      </w:r>
    </w:p>
    <w:p>
      <w:r>
        <w:rPr>
          <w:b/>
        </w:rPr>
        <w:t>[Pages 4–5]</w:t>
      </w:r>
    </w:p>
    <w:p>
      <w:r>
        <w:t xml:space="preserve">11. Other criteria may nevertheless be taken into account to assess the impact of a concentration on the competitive situation in retail distribution markets, which may lead to refining the usual delineations.  </w:t>
        <w:br/>
        <w:t xml:space="preserve">12. In this case, the store in question falls into the category of hypermarkets, and the competitive analysis will be conducted on two markets: one including hypermarkets located within a 30-minute radius around Amancy and the other including all hypermarkets, supermarkets, and maxi-discounters located within a 15-minute catchment area around Amancy.  </w:t>
        <w:br/>
        <w:t xml:space="preserve">B. UPSTREAM SUPPLY MARKETS  </w:t>
        <w:br/>
        <w:t xml:space="preserve">13. Regarding supply markets, the European Commission has recognized the existence of markets of national dimension by major product groups, a delineation followed by national authorities.  </w:t>
        <w:br/>
        <w:t xml:space="preserve">14. There is no need to challenge this delineation in the context of the present operation.  </w:t>
        <w:br/>
        <w:t xml:space="preserve">III. Competitive Analysis  </w:t>
        <w:br/>
        <w:t xml:space="preserve">A. DOWNSTREAM DISTRIBUTION MARKETS  </w:t>
        <w:br/>
        <w:t xml:space="preserve">15. In the market including hypermarkets located within a 30-minute driving radius around Amancy, the Carrefour Market operated by Bertholon represents 3% of the sales area. There are also four Carrefour hypermarkets present in the area, including one hypermarket operated by Provencia in Cluses, and three other hypermarkets located in Annecy, Bonneville, and Sallanches. In total, the Carrefour group represents a cumulative market share corresponding to 39% of the sales area.  </w:t>
        <w:br/>
        <w:t xml:space="preserve">16. These stores face competition from hypermarkets operated under the Casino brand (whose hypermarkets in the relevant area represent 21% of the sales area), Auchan (13%), Cora (6%), Intermarché (11%), Leclerc (7%), and Système U (3%).  </w:t>
        <w:br/>
        <w:t xml:space="preserve">17. In the market including all hypermarkets, supermarkets, and maxi-discounters located within a 15-minute radius, the Carrefour Market operated by Bertholon represents 5% of the total sales area. The Carrefour group also owns ten stores, including one hypermarket, located in localities within a 15-minute radius of the store in question and covers, in total, 37% of the sales area in this zone.  </w:t>
        <w:br/>
        <w:t xml:space="preserve">18. However, these stores face competition from stores operated under the Casino brand (whose stores represent 26% of the sales area in the relevant area), Intermarché (17%), Cora (9%), Système U (7%), and Lidl (4%).  </w:t>
        <w:br/>
        <w:t xml:space="preserve">19. In both catchment areas, Carrefour group stores are therefore confronted with competition from several stores affiliated with major food distribution groups. Furthermore, the operation, which reflects the transition from exclusive control by the Carrefour group to joint control by the Carrefour group and the Provendis group over Bertholon, does not alter the competitive structure in these areas.  </w:t>
        <w:br/>
        <w:t xml:space="preserve">20. Consequently, the operation is not likely to harm competition in the downstream markets.  </w:t>
        <w:br/>
        <w:t xml:space="preserve">B. UPSTREAM SUPPLY MARKETS  </w:t>
        <w:br/>
        <w:t xml:space="preserve">21. Regarding upstream supply markets, the operation, which concerns only one store, is not likely to significantly strengthen the purchasing power of the Carrefour and Provendis groups, both across all products and by major product groups. Furthermore, the operation, which reflects the transition from exclusive control by the Carrefour group to joint control by the Carrefour group and the Provendis group, does not alter the competitive structure in these areas.  </w:t>
        <w:br/>
        <w:t xml:space="preserve">22. Therefore, the operation is not likely to harm competition in either the downstream market or the upstream supply market.  </w:t>
        <w:br/>
        <w:t xml:space="preserve">DECIDES  </w:t>
        <w:br/>
        <w:t xml:space="preserve">Sole Article: The operation notified under number 10-0212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