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13-DCC-25 of March 5, 2013  </w:t>
        <w:br/>
        <w:t xml:space="preserve">regarding the joint control acquisition of the company Socidis  </w:t>
        <w:br/>
        <w:t xml:space="preserve">by the companies Charlinette and ITM Entreprises  </w:t>
        <w:br/>
        <w:t>The Competition Authority,</w:t>
      </w:r>
    </w:p>
    <w:p>
      <w:r>
        <w:t xml:space="preserve">Having regard to the complete notification file sent to the mergers department on February 14, 2013,  </w:t>
        <w:br/>
        <w:t xml:space="preserve">concerning the joint control acquisition of the company Socidis by the companies Charlinette and ITM  </w:t>
        <w:br/>
        <w:t>Entreprises, formalized by a transfer agreement protocol dated February 13, 2013;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the company Charlinette, which  </w:t>
        <w:br/>
        <w:t xml:space="preserve">belongs to the Le Diabat consortium and operates a food-dominant retail outlet under the Intermarché brand located in Gencay (86), and ITM Entreprises, of the company Socidis which  </w:t>
        <w:br/>
        <w:t xml:space="preserve">operates a food-dominant retail outlet under the Intermarché brand with a surface area  </w:t>
        <w:br/>
        <w:t xml:space="preserve">of 2,500 m², located in Savigné (86).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13-030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